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E19EF" w14:textId="5AE46EA1" w:rsidR="00251A57" w:rsidRDefault="00EB430B" w:rsidP="00FC097F">
      <w:pPr>
        <w:jc w:val="center"/>
        <w:rPr>
          <w:b/>
          <w:sz w:val="32"/>
          <w:lang w:val="el-GR"/>
        </w:rPr>
      </w:pPr>
      <w:r w:rsidRPr="00EB430B">
        <w:rPr>
          <w:b/>
          <w:noProof/>
          <w:sz w:val="32"/>
          <w:lang w:val="el-GR"/>
        </w:rPr>
        <w:drawing>
          <wp:inline distT="0" distB="0" distL="0" distR="0" wp14:anchorId="2B109EE3" wp14:editId="0988A585">
            <wp:extent cx="3747409" cy="1485900"/>
            <wp:effectExtent l="0" t="0" r="5715" b="0"/>
            <wp:docPr id="190018131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0633" cy="1491143"/>
                    </a:xfrm>
                    <a:prstGeom prst="rect">
                      <a:avLst/>
                    </a:prstGeom>
                    <a:noFill/>
                    <a:ln>
                      <a:noFill/>
                    </a:ln>
                  </pic:spPr>
                </pic:pic>
              </a:graphicData>
            </a:graphic>
          </wp:inline>
        </w:drawing>
      </w:r>
    </w:p>
    <w:p w14:paraId="1A094987" w14:textId="749B97DE" w:rsidR="00FC097F" w:rsidRPr="00C93691" w:rsidRDefault="00FC097F" w:rsidP="00FC097F">
      <w:pPr>
        <w:jc w:val="center"/>
        <w:rPr>
          <w:sz w:val="36"/>
          <w:szCs w:val="36"/>
          <w:lang w:val="el-GR"/>
        </w:rPr>
      </w:pPr>
      <w:r w:rsidRPr="00C93691">
        <w:rPr>
          <w:b/>
          <w:sz w:val="36"/>
          <w:szCs w:val="36"/>
          <w:lang w:val="el-GR"/>
        </w:rPr>
        <w:t>ΠΑΝΕΠΙΣΤΗΜΙΟ ΝΕΑΠΟΛΙΣ ΠΑΦΟΥ</w:t>
      </w:r>
    </w:p>
    <w:p w14:paraId="71566EA5" w14:textId="77777777" w:rsidR="00FC097F" w:rsidRPr="00C93691" w:rsidRDefault="00FC097F" w:rsidP="00FC097F">
      <w:pPr>
        <w:jc w:val="center"/>
        <w:rPr>
          <w:sz w:val="36"/>
          <w:szCs w:val="36"/>
          <w:lang w:val="el-GR"/>
        </w:rPr>
      </w:pPr>
      <w:r w:rsidRPr="00C93691">
        <w:rPr>
          <w:b/>
          <w:sz w:val="36"/>
          <w:szCs w:val="36"/>
          <w:lang w:val="el-GR"/>
        </w:rPr>
        <w:t>ΣΧΟΛΗ ΟΙΚΟΝΟΜΙΚΩΝ, ΔΙΟΙΚΗΣΗΣ ΚΑΙ ΠΛΗΡΟΦΟΡΙΚΗΣ</w:t>
      </w:r>
    </w:p>
    <w:p w14:paraId="1BDFAF66" w14:textId="1DD2B008" w:rsidR="00FC097F" w:rsidRPr="00FC097F" w:rsidRDefault="00FC097F" w:rsidP="00FC097F">
      <w:pPr>
        <w:jc w:val="center"/>
        <w:rPr>
          <w:lang w:val="el-GR"/>
        </w:rPr>
      </w:pPr>
      <w:r w:rsidRPr="00FC097F">
        <w:rPr>
          <w:sz w:val="26"/>
          <w:lang w:val="el-GR"/>
        </w:rPr>
        <w:t xml:space="preserve">Πρόγραμμα Μεταπτυχιακών Σπουδών: </w:t>
      </w:r>
      <w:r w:rsidR="00E76319">
        <w:rPr>
          <w:sz w:val="26"/>
          <w:lang w:val="el-GR"/>
        </w:rPr>
        <w:t xml:space="preserve">Μεταπτυχιακό </w:t>
      </w:r>
      <w:r w:rsidR="00272D66">
        <w:rPr>
          <w:sz w:val="26"/>
          <w:lang w:val="el-GR"/>
        </w:rPr>
        <w:t xml:space="preserve">στην Τραπεζική Χρηματοοικονομική </w:t>
      </w:r>
      <w:r w:rsidR="00623296">
        <w:rPr>
          <w:sz w:val="26"/>
          <w:lang w:val="el-GR"/>
        </w:rPr>
        <w:t xml:space="preserve">και στις </w:t>
      </w:r>
      <w:r w:rsidR="00E603A7">
        <w:rPr>
          <w:sz w:val="26"/>
          <w:lang w:val="el-GR"/>
        </w:rPr>
        <w:t xml:space="preserve">Επενδύσεις. </w:t>
      </w:r>
    </w:p>
    <w:p w14:paraId="6F588E7B" w14:textId="77777777" w:rsidR="00FC097F" w:rsidRPr="00FC097F" w:rsidRDefault="00FC097F" w:rsidP="00FC097F">
      <w:pPr>
        <w:jc w:val="center"/>
        <w:rPr>
          <w:lang w:val="el-GR"/>
        </w:rPr>
      </w:pPr>
    </w:p>
    <w:p w14:paraId="335EE7E4" w14:textId="77777777" w:rsidR="00FC097F" w:rsidRPr="00FC097F" w:rsidRDefault="00FC097F" w:rsidP="00FC097F">
      <w:pPr>
        <w:jc w:val="center"/>
        <w:rPr>
          <w:lang w:val="el-GR"/>
        </w:rPr>
      </w:pPr>
      <w:r w:rsidRPr="00FC097F">
        <w:rPr>
          <w:b/>
          <w:sz w:val="36"/>
          <w:lang w:val="el-GR"/>
        </w:rPr>
        <w:t xml:space="preserve">Μέτρηση Κινδύνου Αγοράς με </w:t>
      </w:r>
      <w:r>
        <w:rPr>
          <w:b/>
          <w:sz w:val="36"/>
        </w:rPr>
        <w:t>Value</w:t>
      </w:r>
      <w:r w:rsidRPr="00FC097F">
        <w:rPr>
          <w:b/>
          <w:sz w:val="36"/>
          <w:lang w:val="el-GR"/>
        </w:rPr>
        <w:t xml:space="preserve"> </w:t>
      </w:r>
      <w:r>
        <w:rPr>
          <w:b/>
          <w:sz w:val="36"/>
        </w:rPr>
        <w:t>at</w:t>
      </w:r>
      <w:r w:rsidRPr="00FC097F">
        <w:rPr>
          <w:b/>
          <w:sz w:val="36"/>
          <w:lang w:val="el-GR"/>
        </w:rPr>
        <w:t xml:space="preserve"> </w:t>
      </w:r>
      <w:r>
        <w:rPr>
          <w:b/>
          <w:sz w:val="36"/>
        </w:rPr>
        <w:t>Risk</w:t>
      </w:r>
      <w:r w:rsidRPr="00FC097F">
        <w:rPr>
          <w:b/>
          <w:sz w:val="36"/>
          <w:lang w:val="el-GR"/>
        </w:rPr>
        <w:t xml:space="preserve"> και Εφαρμογή Αντιστάθμισης με </w:t>
      </w:r>
      <w:r>
        <w:rPr>
          <w:b/>
          <w:sz w:val="36"/>
        </w:rPr>
        <w:t>Futures</w:t>
      </w:r>
    </w:p>
    <w:p w14:paraId="5AF2DC2F" w14:textId="77777777" w:rsidR="00FC097F" w:rsidRPr="00FC097F" w:rsidRDefault="00FC097F" w:rsidP="00FC097F">
      <w:pPr>
        <w:jc w:val="center"/>
        <w:rPr>
          <w:lang w:val="el-GR"/>
        </w:rPr>
      </w:pPr>
    </w:p>
    <w:p w14:paraId="31F5E66B" w14:textId="77777777" w:rsidR="00FC097F" w:rsidRPr="00FC097F" w:rsidRDefault="00FC097F" w:rsidP="00FC097F">
      <w:pPr>
        <w:jc w:val="center"/>
        <w:rPr>
          <w:lang w:val="el-GR"/>
        </w:rPr>
      </w:pPr>
      <w:r w:rsidRPr="00FC097F">
        <w:rPr>
          <w:b/>
          <w:sz w:val="32"/>
          <w:lang w:val="el-GR"/>
        </w:rPr>
        <w:t xml:space="preserve">Αθανάσιος </w:t>
      </w:r>
      <w:proofErr w:type="spellStart"/>
      <w:r w:rsidRPr="00FC097F">
        <w:rPr>
          <w:b/>
          <w:sz w:val="32"/>
          <w:lang w:val="el-GR"/>
        </w:rPr>
        <w:t>Μπούγλας</w:t>
      </w:r>
      <w:proofErr w:type="spellEnd"/>
    </w:p>
    <w:p w14:paraId="41956D90" w14:textId="77777777" w:rsidR="00FC097F" w:rsidRPr="007E53FA" w:rsidRDefault="00FC097F" w:rsidP="00FC097F">
      <w:pPr>
        <w:jc w:val="center"/>
        <w:rPr>
          <w:sz w:val="32"/>
          <w:szCs w:val="32"/>
          <w:lang w:val="el-GR"/>
        </w:rPr>
      </w:pPr>
      <w:r w:rsidRPr="007E53FA">
        <w:rPr>
          <w:b/>
          <w:sz w:val="32"/>
          <w:szCs w:val="32"/>
          <w:lang w:val="el-GR"/>
        </w:rPr>
        <w:t xml:space="preserve">Επιβλέπων: </w:t>
      </w:r>
      <w:proofErr w:type="spellStart"/>
      <w:r w:rsidRPr="007E53FA">
        <w:rPr>
          <w:b/>
          <w:sz w:val="32"/>
          <w:szCs w:val="32"/>
          <w:lang w:val="el-GR"/>
        </w:rPr>
        <w:t>Καθ</w:t>
      </w:r>
      <w:proofErr w:type="spellEnd"/>
      <w:r w:rsidRPr="007E53FA">
        <w:rPr>
          <w:b/>
          <w:sz w:val="32"/>
          <w:szCs w:val="32"/>
          <w:lang w:val="el-GR"/>
        </w:rPr>
        <w:t>. Κωνσταντίνος Γιαννόπουλος</w:t>
      </w:r>
    </w:p>
    <w:p w14:paraId="1C990D39" w14:textId="2D229C76" w:rsidR="00FC097F" w:rsidRPr="007E53FA" w:rsidRDefault="006D6C06" w:rsidP="00FC097F">
      <w:pPr>
        <w:jc w:val="center"/>
        <w:rPr>
          <w:sz w:val="32"/>
          <w:szCs w:val="32"/>
          <w:lang w:val="el-GR"/>
        </w:rPr>
      </w:pPr>
      <w:r>
        <w:rPr>
          <w:b/>
          <w:sz w:val="32"/>
          <w:szCs w:val="32"/>
          <w:lang w:val="el-GR"/>
        </w:rPr>
        <w:t>ΙΟΥΝΙΟΣ</w:t>
      </w:r>
      <w:r w:rsidR="00FC097F" w:rsidRPr="007E53FA">
        <w:rPr>
          <w:b/>
          <w:sz w:val="32"/>
          <w:szCs w:val="32"/>
          <w:lang w:val="el-GR"/>
        </w:rPr>
        <w:t xml:space="preserve"> 2026</w:t>
      </w:r>
    </w:p>
    <w:p w14:paraId="77140481" w14:textId="77777777" w:rsidR="002D3996" w:rsidRDefault="00FC097F" w:rsidP="00FC097F">
      <w:pPr>
        <w:jc w:val="left"/>
        <w:rPr>
          <w:lang w:val="el-GR"/>
        </w:rPr>
        <w:sectPr w:rsidR="002D3996" w:rsidSect="00FC097F">
          <w:footerReference w:type="default" r:id="rId9"/>
          <w:pgSz w:w="12240" w:h="15840"/>
          <w:pgMar w:top="1134" w:right="1134" w:bottom="1134" w:left="1984" w:header="720" w:footer="720" w:gutter="0"/>
          <w:cols w:space="720"/>
          <w:titlePg/>
          <w:docGrid w:linePitch="360"/>
        </w:sectPr>
      </w:pPr>
      <w:r w:rsidRPr="00FC097F">
        <w:rPr>
          <w:lang w:val="el-GR"/>
        </w:rPr>
        <w:br w:type="page"/>
      </w:r>
    </w:p>
    <w:p w14:paraId="369D0A5E" w14:textId="77777777" w:rsidR="00FC097F" w:rsidRPr="00FC097F" w:rsidRDefault="00FC097F" w:rsidP="00FC097F">
      <w:pPr>
        <w:jc w:val="left"/>
        <w:rPr>
          <w:lang w:val="el-GR"/>
        </w:rPr>
      </w:pPr>
    </w:p>
    <w:p w14:paraId="46FAC7EF" w14:textId="52089ACE" w:rsidR="00EB430B" w:rsidRDefault="00EB430B" w:rsidP="00FC097F">
      <w:pPr>
        <w:jc w:val="center"/>
        <w:rPr>
          <w:b/>
          <w:sz w:val="32"/>
          <w:lang w:val="el-GR"/>
        </w:rPr>
      </w:pPr>
      <w:r w:rsidRPr="00EB430B">
        <w:rPr>
          <w:b/>
          <w:noProof/>
          <w:sz w:val="32"/>
          <w:lang w:val="el-GR"/>
        </w:rPr>
        <w:drawing>
          <wp:inline distT="0" distB="0" distL="0" distR="0" wp14:anchorId="2F27B9F6" wp14:editId="2215E624">
            <wp:extent cx="3747409" cy="1485900"/>
            <wp:effectExtent l="0" t="0" r="5715" b="0"/>
            <wp:docPr id="7779301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0633" cy="1491143"/>
                    </a:xfrm>
                    <a:prstGeom prst="rect">
                      <a:avLst/>
                    </a:prstGeom>
                    <a:noFill/>
                    <a:ln>
                      <a:noFill/>
                    </a:ln>
                  </pic:spPr>
                </pic:pic>
              </a:graphicData>
            </a:graphic>
          </wp:inline>
        </w:drawing>
      </w:r>
    </w:p>
    <w:p w14:paraId="41A376A4" w14:textId="5A42927E" w:rsidR="00FC097F" w:rsidRPr="00CF4ED3" w:rsidRDefault="00FC097F" w:rsidP="00FC097F">
      <w:pPr>
        <w:jc w:val="center"/>
        <w:rPr>
          <w:sz w:val="36"/>
          <w:szCs w:val="36"/>
          <w:lang w:val="el-GR"/>
        </w:rPr>
      </w:pPr>
      <w:r w:rsidRPr="00CF4ED3">
        <w:rPr>
          <w:b/>
          <w:sz w:val="36"/>
          <w:szCs w:val="36"/>
          <w:lang w:val="el-GR"/>
        </w:rPr>
        <w:t>ΠΑΝΕΠΙΣΤΗΜΙΟ ΝΕΑΠΟΛΙΣ ΠΑΦΟΥ</w:t>
      </w:r>
    </w:p>
    <w:p w14:paraId="370B37C9" w14:textId="77777777" w:rsidR="00FC097F" w:rsidRPr="00CF4ED3" w:rsidRDefault="00FC097F" w:rsidP="00FC097F">
      <w:pPr>
        <w:jc w:val="center"/>
        <w:rPr>
          <w:sz w:val="36"/>
          <w:szCs w:val="36"/>
          <w:lang w:val="el-GR"/>
        </w:rPr>
      </w:pPr>
      <w:r w:rsidRPr="00CF4ED3">
        <w:rPr>
          <w:b/>
          <w:sz w:val="36"/>
          <w:szCs w:val="36"/>
          <w:lang w:val="el-GR"/>
        </w:rPr>
        <w:t>ΣΧΟΛΗ ΟΙΚΟΝΟΜΙΚΩΝ, ΔΙΟΙΚΗΣΗΣ ΚΑΙ ΠΛΗΡΟΦΟΡΙΚΗΣ</w:t>
      </w:r>
    </w:p>
    <w:p w14:paraId="64256388" w14:textId="77777777" w:rsidR="00FC097F" w:rsidRDefault="00FC097F" w:rsidP="00FC097F">
      <w:pPr>
        <w:jc w:val="center"/>
        <w:rPr>
          <w:b/>
          <w:sz w:val="36"/>
          <w:lang w:val="el-GR"/>
        </w:rPr>
      </w:pPr>
      <w:r w:rsidRPr="00FC097F">
        <w:rPr>
          <w:b/>
          <w:sz w:val="36"/>
          <w:lang w:val="el-GR"/>
        </w:rPr>
        <w:t xml:space="preserve">Μέτρηση Κινδύνου Αγοράς με </w:t>
      </w:r>
      <w:r>
        <w:rPr>
          <w:b/>
          <w:sz w:val="36"/>
        </w:rPr>
        <w:t>Value</w:t>
      </w:r>
      <w:r w:rsidRPr="00FC097F">
        <w:rPr>
          <w:b/>
          <w:sz w:val="36"/>
          <w:lang w:val="el-GR"/>
        </w:rPr>
        <w:t xml:space="preserve"> </w:t>
      </w:r>
      <w:r>
        <w:rPr>
          <w:b/>
          <w:sz w:val="36"/>
        </w:rPr>
        <w:t>at</w:t>
      </w:r>
      <w:r w:rsidRPr="00FC097F">
        <w:rPr>
          <w:b/>
          <w:sz w:val="36"/>
          <w:lang w:val="el-GR"/>
        </w:rPr>
        <w:t xml:space="preserve"> </w:t>
      </w:r>
      <w:r>
        <w:rPr>
          <w:b/>
          <w:sz w:val="36"/>
        </w:rPr>
        <w:t>Risk</w:t>
      </w:r>
      <w:r w:rsidRPr="00FC097F">
        <w:rPr>
          <w:b/>
          <w:sz w:val="36"/>
          <w:lang w:val="el-GR"/>
        </w:rPr>
        <w:t xml:space="preserve"> και Εφαρμογή Αντιστάθμισης με </w:t>
      </w:r>
      <w:r>
        <w:rPr>
          <w:b/>
          <w:sz w:val="36"/>
        </w:rPr>
        <w:t>Futures</w:t>
      </w:r>
    </w:p>
    <w:p w14:paraId="31FDCDAB" w14:textId="77777777" w:rsidR="00DA12CE" w:rsidRPr="00DA12CE" w:rsidRDefault="00DA12CE" w:rsidP="00FC097F">
      <w:pPr>
        <w:jc w:val="center"/>
        <w:rPr>
          <w:lang w:val="el-GR"/>
        </w:rPr>
      </w:pPr>
    </w:p>
    <w:p w14:paraId="7E28835F" w14:textId="1F78823B" w:rsidR="00FC097F" w:rsidRPr="009A57EC" w:rsidRDefault="00FC097F" w:rsidP="00FC097F">
      <w:pPr>
        <w:jc w:val="center"/>
        <w:rPr>
          <w:b/>
          <w:bCs/>
          <w:sz w:val="32"/>
          <w:szCs w:val="32"/>
          <w:lang w:val="el-GR"/>
        </w:rPr>
      </w:pPr>
      <w:r w:rsidRPr="009A57EC">
        <w:rPr>
          <w:b/>
          <w:bCs/>
          <w:sz w:val="32"/>
          <w:szCs w:val="32"/>
          <w:lang w:val="el-GR"/>
        </w:rPr>
        <w:t>Διπλωματική Εργασία η οποία υποβλήθηκε προς απόκτηση μεταπτυχιακού τίτλου σπουδών στ</w:t>
      </w:r>
      <w:r w:rsidR="006B4277">
        <w:rPr>
          <w:b/>
          <w:bCs/>
          <w:sz w:val="32"/>
          <w:szCs w:val="32"/>
          <w:lang w:val="el-GR"/>
        </w:rPr>
        <w:t>ην Τραπεζική, τα</w:t>
      </w:r>
      <w:r w:rsidRPr="009A57EC">
        <w:rPr>
          <w:b/>
          <w:bCs/>
          <w:sz w:val="32"/>
          <w:szCs w:val="32"/>
          <w:lang w:val="el-GR"/>
        </w:rPr>
        <w:t xml:space="preserve"> Χρηματοοικονομικά και τις Επενδύσεις στο Πανεπιστήμιο </w:t>
      </w:r>
      <w:proofErr w:type="spellStart"/>
      <w:r w:rsidRPr="009A57EC">
        <w:rPr>
          <w:b/>
          <w:bCs/>
          <w:sz w:val="32"/>
          <w:szCs w:val="32"/>
          <w:lang w:val="el-GR"/>
        </w:rPr>
        <w:t>Νεάπολις</w:t>
      </w:r>
      <w:proofErr w:type="spellEnd"/>
      <w:r w:rsidRPr="009A57EC">
        <w:rPr>
          <w:b/>
          <w:bCs/>
          <w:sz w:val="32"/>
          <w:szCs w:val="32"/>
          <w:lang w:val="el-GR"/>
        </w:rPr>
        <w:t xml:space="preserve"> Πάφος</w:t>
      </w:r>
    </w:p>
    <w:p w14:paraId="348EAD3A" w14:textId="77777777" w:rsidR="00FC097F" w:rsidRPr="00FC097F" w:rsidRDefault="00FC097F" w:rsidP="00FC097F">
      <w:pPr>
        <w:jc w:val="center"/>
        <w:rPr>
          <w:lang w:val="el-GR"/>
        </w:rPr>
      </w:pPr>
      <w:r w:rsidRPr="00FC097F">
        <w:rPr>
          <w:b/>
          <w:sz w:val="32"/>
          <w:lang w:val="el-GR"/>
        </w:rPr>
        <w:t xml:space="preserve">Αθανάσιος </w:t>
      </w:r>
      <w:proofErr w:type="spellStart"/>
      <w:r w:rsidRPr="00FC097F">
        <w:rPr>
          <w:b/>
          <w:sz w:val="32"/>
          <w:lang w:val="el-GR"/>
        </w:rPr>
        <w:t>Μπούγλας</w:t>
      </w:r>
      <w:proofErr w:type="spellEnd"/>
    </w:p>
    <w:p w14:paraId="60986867" w14:textId="77777777" w:rsidR="00FC097F" w:rsidRPr="009A57EC" w:rsidRDefault="00FC097F" w:rsidP="00FC097F">
      <w:pPr>
        <w:jc w:val="center"/>
        <w:rPr>
          <w:sz w:val="32"/>
          <w:szCs w:val="32"/>
          <w:lang w:val="el-GR"/>
        </w:rPr>
      </w:pPr>
      <w:r w:rsidRPr="009A57EC">
        <w:rPr>
          <w:b/>
          <w:sz w:val="32"/>
          <w:szCs w:val="32"/>
          <w:lang w:val="el-GR"/>
        </w:rPr>
        <w:t>Εξεταστική Επιτροπή</w:t>
      </w:r>
    </w:p>
    <w:p w14:paraId="51EA2B8E" w14:textId="77777777" w:rsidR="00FC097F" w:rsidRPr="00487054" w:rsidRDefault="00FC097F" w:rsidP="00FC097F">
      <w:pPr>
        <w:jc w:val="center"/>
        <w:rPr>
          <w:b/>
          <w:bCs/>
          <w:sz w:val="32"/>
          <w:szCs w:val="32"/>
          <w:lang w:val="el-GR"/>
        </w:rPr>
      </w:pPr>
      <w:r w:rsidRPr="00487054">
        <w:rPr>
          <w:b/>
          <w:bCs/>
          <w:sz w:val="32"/>
          <w:szCs w:val="32"/>
          <w:lang w:val="el-GR"/>
        </w:rPr>
        <w:t xml:space="preserve">Επιβλέπων: </w:t>
      </w:r>
      <w:proofErr w:type="spellStart"/>
      <w:r w:rsidRPr="00487054">
        <w:rPr>
          <w:b/>
          <w:bCs/>
          <w:sz w:val="32"/>
          <w:szCs w:val="32"/>
          <w:lang w:val="el-GR"/>
        </w:rPr>
        <w:t>Καθ</w:t>
      </w:r>
      <w:proofErr w:type="spellEnd"/>
      <w:r w:rsidRPr="00487054">
        <w:rPr>
          <w:b/>
          <w:bCs/>
          <w:sz w:val="32"/>
          <w:szCs w:val="32"/>
          <w:lang w:val="el-GR"/>
        </w:rPr>
        <w:t>. Κωνσταντίνος Γιαννόπουλος</w:t>
      </w:r>
    </w:p>
    <w:p w14:paraId="1F95D542" w14:textId="39257AD8" w:rsidR="00FC097F" w:rsidRPr="00487054" w:rsidRDefault="00FC097F" w:rsidP="00FC097F">
      <w:pPr>
        <w:jc w:val="center"/>
        <w:rPr>
          <w:b/>
          <w:bCs/>
          <w:sz w:val="32"/>
          <w:szCs w:val="32"/>
          <w:lang w:val="el-GR"/>
        </w:rPr>
      </w:pPr>
      <w:r w:rsidRPr="00487054">
        <w:rPr>
          <w:b/>
          <w:bCs/>
          <w:sz w:val="32"/>
          <w:szCs w:val="32"/>
          <w:lang w:val="el-GR"/>
        </w:rPr>
        <w:t xml:space="preserve">Μέλος: </w:t>
      </w:r>
      <w:r w:rsidR="001B097F" w:rsidRPr="001B097F">
        <w:rPr>
          <w:b/>
          <w:bCs/>
          <w:sz w:val="32"/>
          <w:szCs w:val="32"/>
          <w:lang w:val="el-GR"/>
        </w:rPr>
        <w:t>Δρ. Δημητρίου Δήμητρα</w:t>
      </w:r>
    </w:p>
    <w:p w14:paraId="52230351" w14:textId="3F79B073" w:rsidR="00FC097F" w:rsidRPr="00487054" w:rsidRDefault="00FC097F" w:rsidP="00FC097F">
      <w:pPr>
        <w:jc w:val="center"/>
        <w:rPr>
          <w:b/>
          <w:bCs/>
          <w:sz w:val="32"/>
          <w:szCs w:val="32"/>
          <w:lang w:val="el-GR"/>
        </w:rPr>
      </w:pPr>
      <w:r w:rsidRPr="00487054">
        <w:rPr>
          <w:b/>
          <w:bCs/>
          <w:sz w:val="32"/>
          <w:szCs w:val="32"/>
          <w:lang w:val="el-GR"/>
        </w:rPr>
        <w:t xml:space="preserve">Μέλος: </w:t>
      </w:r>
      <w:proofErr w:type="spellStart"/>
      <w:r w:rsidR="001B097F" w:rsidRPr="001B097F">
        <w:rPr>
          <w:b/>
          <w:bCs/>
          <w:sz w:val="32"/>
          <w:szCs w:val="32"/>
          <w:lang w:val="el-GR"/>
        </w:rPr>
        <w:t>Καθ</w:t>
      </w:r>
      <w:proofErr w:type="spellEnd"/>
      <w:r w:rsidR="001B097F" w:rsidRPr="001B097F">
        <w:rPr>
          <w:b/>
          <w:bCs/>
          <w:sz w:val="32"/>
          <w:szCs w:val="32"/>
          <w:lang w:val="el-GR"/>
        </w:rPr>
        <w:t>. Ψυλλάκη Μαρία</w:t>
      </w:r>
    </w:p>
    <w:p w14:paraId="24431910" w14:textId="174CD3EF" w:rsidR="00FC097F" w:rsidRPr="006D6C06" w:rsidRDefault="006D6C06" w:rsidP="00FC097F">
      <w:pPr>
        <w:jc w:val="center"/>
        <w:rPr>
          <w:b/>
          <w:bCs/>
          <w:sz w:val="32"/>
          <w:szCs w:val="32"/>
          <w:lang w:val="el-GR"/>
        </w:rPr>
      </w:pPr>
      <w:r w:rsidRPr="006D6C06">
        <w:rPr>
          <w:b/>
          <w:bCs/>
          <w:sz w:val="32"/>
          <w:szCs w:val="32"/>
          <w:lang w:val="el-GR"/>
        </w:rPr>
        <w:t>ΙΟΥΝΙΟΣ</w:t>
      </w:r>
      <w:r w:rsidR="00FC097F" w:rsidRPr="006D6C06">
        <w:rPr>
          <w:b/>
          <w:bCs/>
          <w:sz w:val="32"/>
          <w:szCs w:val="32"/>
          <w:lang w:val="el-GR"/>
        </w:rPr>
        <w:t xml:space="preserve"> 2026</w:t>
      </w:r>
    </w:p>
    <w:p w14:paraId="58CC2344" w14:textId="482DA7B9" w:rsidR="00FC097F" w:rsidRPr="00FC097F" w:rsidRDefault="00FC097F" w:rsidP="001725D7">
      <w:pPr>
        <w:jc w:val="left"/>
        <w:rPr>
          <w:lang w:val="el-GR"/>
        </w:rPr>
      </w:pPr>
      <w:r w:rsidRPr="00FC097F">
        <w:rPr>
          <w:lang w:val="el-GR"/>
        </w:rPr>
        <w:br w:type="page"/>
      </w:r>
      <w:r w:rsidRPr="00FC097F">
        <w:rPr>
          <w:lang w:val="el-GR"/>
        </w:rPr>
        <w:lastRenderedPageBreak/>
        <w:t>Πνευματικά δικαιώματα</w:t>
      </w:r>
    </w:p>
    <w:p w14:paraId="2A71CDE8" w14:textId="77777777" w:rsidR="00FC097F" w:rsidRPr="00FC097F" w:rsidRDefault="00FC097F" w:rsidP="002B262A">
      <w:pPr>
        <w:rPr>
          <w:lang w:val="el-GR"/>
        </w:rPr>
      </w:pPr>
      <w:r>
        <w:t>Copyright</w:t>
      </w:r>
      <w:r w:rsidRPr="00FC097F">
        <w:rPr>
          <w:lang w:val="el-GR"/>
        </w:rPr>
        <w:t xml:space="preserve"> © Αθανάσιος </w:t>
      </w:r>
      <w:proofErr w:type="spellStart"/>
      <w:r w:rsidRPr="00FC097F">
        <w:rPr>
          <w:lang w:val="el-GR"/>
        </w:rPr>
        <w:t>Μπούγλας</w:t>
      </w:r>
      <w:proofErr w:type="spellEnd"/>
      <w:r w:rsidRPr="00FC097F">
        <w:rPr>
          <w:lang w:val="el-GR"/>
        </w:rPr>
        <w:t>, 2026</w:t>
      </w:r>
    </w:p>
    <w:p w14:paraId="6AF50DD4" w14:textId="77777777" w:rsidR="00FC097F" w:rsidRPr="00FC097F" w:rsidRDefault="00FC097F" w:rsidP="002B262A">
      <w:pPr>
        <w:rPr>
          <w:lang w:val="el-GR"/>
        </w:rPr>
      </w:pPr>
      <w:r w:rsidRPr="00FC097F">
        <w:rPr>
          <w:lang w:val="el-GR"/>
        </w:rPr>
        <w:t xml:space="preserve">Με επιφύλαξη παντός δικαιώματος. </w:t>
      </w:r>
      <w:r>
        <w:t>All</w:t>
      </w:r>
      <w:r w:rsidRPr="00FC097F">
        <w:rPr>
          <w:lang w:val="el-GR"/>
        </w:rPr>
        <w:t xml:space="preserve"> </w:t>
      </w:r>
      <w:r>
        <w:t>rights</w:t>
      </w:r>
      <w:r w:rsidRPr="00FC097F">
        <w:rPr>
          <w:lang w:val="el-GR"/>
        </w:rPr>
        <w:t xml:space="preserve"> </w:t>
      </w:r>
      <w:r>
        <w:t>reserved</w:t>
      </w:r>
      <w:r w:rsidRPr="00FC097F">
        <w:rPr>
          <w:lang w:val="el-GR"/>
        </w:rPr>
        <w:t>.</w:t>
      </w:r>
    </w:p>
    <w:p w14:paraId="562061F8" w14:textId="77777777" w:rsidR="00FC097F" w:rsidRPr="00FC097F" w:rsidRDefault="00FC097F" w:rsidP="002B262A">
      <w:pPr>
        <w:rPr>
          <w:lang w:val="el-GR"/>
        </w:rPr>
      </w:pPr>
      <w:r w:rsidRPr="00FC097F">
        <w:rPr>
          <w:lang w:val="el-GR"/>
        </w:rPr>
        <w:t xml:space="preserve">Η έγκριση της Διπλωματικής Εργασίας από το Πανεπιστήμιο </w:t>
      </w:r>
      <w:proofErr w:type="spellStart"/>
      <w:r w:rsidRPr="00FC097F">
        <w:rPr>
          <w:lang w:val="el-GR"/>
        </w:rPr>
        <w:t>Νεάπολις</w:t>
      </w:r>
      <w:proofErr w:type="spellEnd"/>
      <w:r w:rsidRPr="00FC097F">
        <w:rPr>
          <w:lang w:val="el-GR"/>
        </w:rPr>
        <w:t xml:space="preserve"> Πάφος δεν υποδηλώνει απαραιτήτως και αποδοχή των απόψεων του συγγραφέα εκ μέρους του Πανεπιστημίου.</w:t>
      </w:r>
    </w:p>
    <w:p w14:paraId="3081CB8D" w14:textId="77777777" w:rsidR="009E70CD" w:rsidRPr="00FC097F" w:rsidRDefault="00FC097F" w:rsidP="009E70CD">
      <w:pPr>
        <w:pStyle w:val="13"/>
        <w:spacing w:after="120"/>
        <w:jc w:val="left"/>
        <w:rPr>
          <w:lang w:val="el-GR"/>
        </w:rPr>
      </w:pPr>
      <w:r w:rsidRPr="00FC097F">
        <w:rPr>
          <w:lang w:val="el-GR"/>
        </w:rPr>
        <w:br w:type="page"/>
      </w:r>
    </w:p>
    <w:bookmarkStart w:id="0" w:name="_Toc232171062" w:displacedByCustomXml="next"/>
    <w:sdt>
      <w:sdtPr>
        <w:rPr>
          <w:rFonts w:ascii="Times New Roman" w:eastAsia="Times New Roman" w:hAnsi="Times New Roman" w:cstheme="minorBidi"/>
          <w:b w:val="0"/>
          <w:bCs w:val="0"/>
          <w:color w:val="auto"/>
          <w:sz w:val="24"/>
          <w:szCs w:val="22"/>
          <w:lang w:val="el-GR"/>
        </w:rPr>
        <w:id w:val="2077632216"/>
        <w:docPartObj>
          <w:docPartGallery w:val="Table of Contents"/>
          <w:docPartUnique/>
        </w:docPartObj>
      </w:sdtPr>
      <w:sdtEndPr>
        <w:rPr>
          <w:lang w:val="en-US"/>
        </w:rPr>
      </w:sdtEndPr>
      <w:sdtContent>
        <w:p w14:paraId="7E6A9EEF" w14:textId="6E54952C" w:rsidR="009E70CD" w:rsidRDefault="009E70CD">
          <w:pPr>
            <w:pStyle w:val="af9"/>
          </w:pPr>
          <w:r>
            <w:rPr>
              <w:lang w:val="el-GR"/>
            </w:rPr>
            <w:t>Περιεχόμενα</w:t>
          </w:r>
          <w:bookmarkEnd w:id="0"/>
        </w:p>
        <w:p w14:paraId="45B62408" w14:textId="08C8A5A2" w:rsidR="000D6D82" w:rsidRDefault="009E70CD">
          <w:pPr>
            <w:pStyle w:val="14"/>
            <w:tabs>
              <w:tab w:val="right" w:leader="dot" w:pos="9112"/>
            </w:tabs>
            <w:rPr>
              <w:rFonts w:asciiTheme="minorHAnsi" w:eastAsiaTheme="minorEastAsia" w:hAnsiTheme="minorHAnsi"/>
              <w:noProof/>
              <w:kern w:val="2"/>
              <w:szCs w:val="24"/>
              <w:lang w:val="el-GR" w:eastAsia="el-GR"/>
              <w14:ligatures w14:val="standardContextual"/>
            </w:rPr>
          </w:pPr>
          <w:r>
            <w:fldChar w:fldCharType="begin"/>
          </w:r>
          <w:r>
            <w:instrText xml:space="preserve"> TOC \o "1-3" \h \z \u </w:instrText>
          </w:r>
          <w:r>
            <w:fldChar w:fldCharType="separate"/>
          </w:r>
          <w:hyperlink w:anchor="_Toc232171062" w:history="1">
            <w:r w:rsidR="000D6D82" w:rsidRPr="00CF6B9C">
              <w:rPr>
                <w:rStyle w:val="-"/>
                <w:noProof/>
                <w:lang w:val="el-GR"/>
              </w:rPr>
              <w:t>Περιεχόμενα</w:t>
            </w:r>
            <w:r w:rsidR="000D6D82">
              <w:rPr>
                <w:noProof/>
                <w:webHidden/>
              </w:rPr>
              <w:tab/>
            </w:r>
            <w:r w:rsidR="000D6D82">
              <w:rPr>
                <w:noProof/>
                <w:webHidden/>
              </w:rPr>
              <w:fldChar w:fldCharType="begin"/>
            </w:r>
            <w:r w:rsidR="000D6D82">
              <w:rPr>
                <w:noProof/>
                <w:webHidden/>
              </w:rPr>
              <w:instrText xml:space="preserve"> PAGEREF _Toc232171062 \h </w:instrText>
            </w:r>
            <w:r w:rsidR="000D6D82">
              <w:rPr>
                <w:noProof/>
                <w:webHidden/>
              </w:rPr>
            </w:r>
            <w:r w:rsidR="000D6D82">
              <w:rPr>
                <w:noProof/>
                <w:webHidden/>
              </w:rPr>
              <w:fldChar w:fldCharType="separate"/>
            </w:r>
            <w:r w:rsidR="00ED67BB">
              <w:rPr>
                <w:noProof/>
                <w:webHidden/>
              </w:rPr>
              <w:t>iii</w:t>
            </w:r>
            <w:r w:rsidR="000D6D82">
              <w:rPr>
                <w:noProof/>
                <w:webHidden/>
              </w:rPr>
              <w:fldChar w:fldCharType="end"/>
            </w:r>
          </w:hyperlink>
        </w:p>
        <w:p w14:paraId="779119EC" w14:textId="0BCAFA22" w:rsidR="000D6D82" w:rsidRDefault="000D6D82">
          <w:pPr>
            <w:pStyle w:val="14"/>
            <w:tabs>
              <w:tab w:val="right" w:leader="dot" w:pos="9112"/>
            </w:tabs>
            <w:rPr>
              <w:rFonts w:asciiTheme="minorHAnsi" w:eastAsiaTheme="minorEastAsia" w:hAnsiTheme="minorHAnsi"/>
              <w:noProof/>
              <w:kern w:val="2"/>
              <w:szCs w:val="24"/>
              <w:lang w:val="el-GR" w:eastAsia="el-GR"/>
              <w14:ligatures w14:val="standardContextual"/>
            </w:rPr>
          </w:pPr>
          <w:hyperlink w:anchor="_Toc232171063" w:history="1">
            <w:r w:rsidRPr="00CF6B9C">
              <w:rPr>
                <w:rStyle w:val="-"/>
                <w:noProof/>
                <w:lang w:val="el-GR"/>
              </w:rPr>
              <w:t>Κεφάλαιο 1: Διαχείριση Χρηματοοικονομικού Κινδύνου και Θεσμικό Πλαίσιο</w:t>
            </w:r>
            <w:r>
              <w:rPr>
                <w:noProof/>
                <w:webHidden/>
              </w:rPr>
              <w:tab/>
            </w:r>
            <w:r>
              <w:rPr>
                <w:noProof/>
                <w:webHidden/>
              </w:rPr>
              <w:fldChar w:fldCharType="begin"/>
            </w:r>
            <w:r>
              <w:rPr>
                <w:noProof/>
                <w:webHidden/>
              </w:rPr>
              <w:instrText xml:space="preserve"> PAGEREF _Toc232171063 \h </w:instrText>
            </w:r>
            <w:r>
              <w:rPr>
                <w:noProof/>
                <w:webHidden/>
              </w:rPr>
            </w:r>
            <w:r>
              <w:rPr>
                <w:noProof/>
                <w:webHidden/>
              </w:rPr>
              <w:fldChar w:fldCharType="separate"/>
            </w:r>
            <w:r w:rsidR="00ED67BB">
              <w:rPr>
                <w:noProof/>
                <w:webHidden/>
              </w:rPr>
              <w:t>1</w:t>
            </w:r>
            <w:r>
              <w:rPr>
                <w:noProof/>
                <w:webHidden/>
              </w:rPr>
              <w:fldChar w:fldCharType="end"/>
            </w:r>
          </w:hyperlink>
        </w:p>
        <w:p w14:paraId="149C7CD5" w14:textId="39D20760"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64" w:history="1">
            <w:r w:rsidRPr="00CF6B9C">
              <w:rPr>
                <w:rStyle w:val="-"/>
                <w:noProof/>
                <w:lang w:val="el-GR"/>
              </w:rPr>
              <w:t>1.1 Εισαγωγή στη διαχείριση χρηματοοικονομικού κινδύνου</w:t>
            </w:r>
            <w:r>
              <w:rPr>
                <w:noProof/>
                <w:webHidden/>
              </w:rPr>
              <w:tab/>
            </w:r>
            <w:r>
              <w:rPr>
                <w:noProof/>
                <w:webHidden/>
              </w:rPr>
              <w:fldChar w:fldCharType="begin"/>
            </w:r>
            <w:r>
              <w:rPr>
                <w:noProof/>
                <w:webHidden/>
              </w:rPr>
              <w:instrText xml:space="preserve"> PAGEREF _Toc232171064 \h </w:instrText>
            </w:r>
            <w:r>
              <w:rPr>
                <w:noProof/>
                <w:webHidden/>
              </w:rPr>
            </w:r>
            <w:r>
              <w:rPr>
                <w:noProof/>
                <w:webHidden/>
              </w:rPr>
              <w:fldChar w:fldCharType="separate"/>
            </w:r>
            <w:r w:rsidR="00ED67BB">
              <w:rPr>
                <w:noProof/>
                <w:webHidden/>
              </w:rPr>
              <w:t>1</w:t>
            </w:r>
            <w:r>
              <w:rPr>
                <w:noProof/>
                <w:webHidden/>
              </w:rPr>
              <w:fldChar w:fldCharType="end"/>
            </w:r>
          </w:hyperlink>
        </w:p>
        <w:p w14:paraId="526DA1DD" w14:textId="2BD6D6DD"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65" w:history="1">
            <w:r w:rsidRPr="00CF6B9C">
              <w:rPr>
                <w:rStyle w:val="-"/>
                <w:noProof/>
                <w:lang w:val="el-GR"/>
              </w:rPr>
              <w:t>1.2 Ιστορική αναδρομή και διδάγματα από μεγάλες χρηματοοικονομικές αποτυχίες</w:t>
            </w:r>
            <w:r>
              <w:rPr>
                <w:noProof/>
                <w:webHidden/>
              </w:rPr>
              <w:tab/>
            </w:r>
            <w:r>
              <w:rPr>
                <w:noProof/>
                <w:webHidden/>
              </w:rPr>
              <w:fldChar w:fldCharType="begin"/>
            </w:r>
            <w:r>
              <w:rPr>
                <w:noProof/>
                <w:webHidden/>
              </w:rPr>
              <w:instrText xml:space="preserve"> PAGEREF _Toc232171065 \h </w:instrText>
            </w:r>
            <w:r>
              <w:rPr>
                <w:noProof/>
                <w:webHidden/>
              </w:rPr>
            </w:r>
            <w:r>
              <w:rPr>
                <w:noProof/>
                <w:webHidden/>
              </w:rPr>
              <w:fldChar w:fldCharType="separate"/>
            </w:r>
            <w:r w:rsidR="00ED67BB">
              <w:rPr>
                <w:noProof/>
                <w:webHidden/>
              </w:rPr>
              <w:t>3</w:t>
            </w:r>
            <w:r>
              <w:rPr>
                <w:noProof/>
                <w:webHidden/>
              </w:rPr>
              <w:fldChar w:fldCharType="end"/>
            </w:r>
          </w:hyperlink>
        </w:p>
        <w:p w14:paraId="52E774C0" w14:textId="7BA8E4AE"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66" w:history="1">
            <w:r w:rsidRPr="00CF6B9C">
              <w:rPr>
                <w:rStyle w:val="-"/>
                <w:noProof/>
                <w:lang w:val="el-GR"/>
              </w:rPr>
              <w:t>1.3 Το κανονιστικό πλαίσιο και οι συστάσεις της Βασιλείας</w:t>
            </w:r>
            <w:r>
              <w:rPr>
                <w:noProof/>
                <w:webHidden/>
              </w:rPr>
              <w:tab/>
            </w:r>
            <w:r>
              <w:rPr>
                <w:noProof/>
                <w:webHidden/>
              </w:rPr>
              <w:fldChar w:fldCharType="begin"/>
            </w:r>
            <w:r>
              <w:rPr>
                <w:noProof/>
                <w:webHidden/>
              </w:rPr>
              <w:instrText xml:space="preserve"> PAGEREF _Toc232171066 \h </w:instrText>
            </w:r>
            <w:r>
              <w:rPr>
                <w:noProof/>
                <w:webHidden/>
              </w:rPr>
            </w:r>
            <w:r>
              <w:rPr>
                <w:noProof/>
                <w:webHidden/>
              </w:rPr>
              <w:fldChar w:fldCharType="separate"/>
            </w:r>
            <w:r w:rsidR="00ED67BB">
              <w:rPr>
                <w:noProof/>
                <w:webHidden/>
              </w:rPr>
              <w:t>6</w:t>
            </w:r>
            <w:r>
              <w:rPr>
                <w:noProof/>
                <w:webHidden/>
              </w:rPr>
              <w:fldChar w:fldCharType="end"/>
            </w:r>
          </w:hyperlink>
        </w:p>
        <w:p w14:paraId="1476BEF2" w14:textId="256C4928"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67" w:history="1">
            <w:r w:rsidRPr="00CF6B9C">
              <w:rPr>
                <w:rStyle w:val="-"/>
                <w:noProof/>
                <w:lang w:val="el-GR"/>
              </w:rPr>
              <w:t xml:space="preserve">1.4 Λειτουργικός διαχωρισμός: </w:t>
            </w:r>
            <w:r w:rsidRPr="00CF6B9C">
              <w:rPr>
                <w:rStyle w:val="-"/>
                <w:noProof/>
              </w:rPr>
              <w:t>Risk</w:t>
            </w:r>
            <w:r w:rsidRPr="00CF6B9C">
              <w:rPr>
                <w:rStyle w:val="-"/>
                <w:noProof/>
                <w:lang w:val="el-GR"/>
              </w:rPr>
              <w:t xml:space="preserve"> </w:t>
            </w:r>
            <w:r w:rsidRPr="00CF6B9C">
              <w:rPr>
                <w:rStyle w:val="-"/>
                <w:noProof/>
              </w:rPr>
              <w:t>Management</w:t>
            </w:r>
            <w:r w:rsidRPr="00CF6B9C">
              <w:rPr>
                <w:rStyle w:val="-"/>
                <w:noProof/>
                <w:lang w:val="el-GR"/>
              </w:rPr>
              <w:t xml:space="preserve"> και </w:t>
            </w:r>
            <w:r w:rsidRPr="00CF6B9C">
              <w:rPr>
                <w:rStyle w:val="-"/>
                <w:noProof/>
              </w:rPr>
              <w:t>Hedging</w:t>
            </w:r>
            <w:r>
              <w:rPr>
                <w:noProof/>
                <w:webHidden/>
              </w:rPr>
              <w:tab/>
            </w:r>
            <w:r>
              <w:rPr>
                <w:noProof/>
                <w:webHidden/>
              </w:rPr>
              <w:fldChar w:fldCharType="begin"/>
            </w:r>
            <w:r>
              <w:rPr>
                <w:noProof/>
                <w:webHidden/>
              </w:rPr>
              <w:instrText xml:space="preserve"> PAGEREF _Toc232171067 \h </w:instrText>
            </w:r>
            <w:r>
              <w:rPr>
                <w:noProof/>
                <w:webHidden/>
              </w:rPr>
            </w:r>
            <w:r>
              <w:rPr>
                <w:noProof/>
                <w:webHidden/>
              </w:rPr>
              <w:fldChar w:fldCharType="separate"/>
            </w:r>
            <w:r w:rsidR="00ED67BB">
              <w:rPr>
                <w:noProof/>
                <w:webHidden/>
              </w:rPr>
              <w:t>8</w:t>
            </w:r>
            <w:r>
              <w:rPr>
                <w:noProof/>
                <w:webHidden/>
              </w:rPr>
              <w:fldChar w:fldCharType="end"/>
            </w:r>
          </w:hyperlink>
        </w:p>
        <w:p w14:paraId="2A88118C" w14:textId="07C878DE" w:rsidR="000D6D82" w:rsidRDefault="000D6D82">
          <w:pPr>
            <w:pStyle w:val="14"/>
            <w:tabs>
              <w:tab w:val="right" w:leader="dot" w:pos="9112"/>
            </w:tabs>
            <w:rPr>
              <w:rFonts w:asciiTheme="minorHAnsi" w:eastAsiaTheme="minorEastAsia" w:hAnsiTheme="minorHAnsi"/>
              <w:noProof/>
              <w:kern w:val="2"/>
              <w:szCs w:val="24"/>
              <w:lang w:val="el-GR" w:eastAsia="el-GR"/>
              <w14:ligatures w14:val="standardContextual"/>
            </w:rPr>
          </w:pPr>
          <w:hyperlink w:anchor="_Toc232171068" w:history="1">
            <w:r w:rsidRPr="00CF6B9C">
              <w:rPr>
                <w:rStyle w:val="-"/>
                <w:noProof/>
                <w:lang w:val="el-GR"/>
              </w:rPr>
              <w:t>Κεφάλαιο 2: Θεωρητικό και Βιβλιογραφικό Υπόβαθρο</w:t>
            </w:r>
            <w:r>
              <w:rPr>
                <w:noProof/>
                <w:webHidden/>
              </w:rPr>
              <w:tab/>
            </w:r>
            <w:r>
              <w:rPr>
                <w:noProof/>
                <w:webHidden/>
              </w:rPr>
              <w:fldChar w:fldCharType="begin"/>
            </w:r>
            <w:r>
              <w:rPr>
                <w:noProof/>
                <w:webHidden/>
              </w:rPr>
              <w:instrText xml:space="preserve"> PAGEREF _Toc232171068 \h </w:instrText>
            </w:r>
            <w:r>
              <w:rPr>
                <w:noProof/>
                <w:webHidden/>
              </w:rPr>
            </w:r>
            <w:r>
              <w:rPr>
                <w:noProof/>
                <w:webHidden/>
              </w:rPr>
              <w:fldChar w:fldCharType="separate"/>
            </w:r>
            <w:r w:rsidR="00ED67BB">
              <w:rPr>
                <w:noProof/>
                <w:webHidden/>
              </w:rPr>
              <w:t>12</w:t>
            </w:r>
            <w:r>
              <w:rPr>
                <w:noProof/>
                <w:webHidden/>
              </w:rPr>
              <w:fldChar w:fldCharType="end"/>
            </w:r>
          </w:hyperlink>
        </w:p>
        <w:p w14:paraId="4115F436" w14:textId="74C933D1"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69" w:history="1">
            <w:r w:rsidRPr="00CF6B9C">
              <w:rPr>
                <w:rStyle w:val="-"/>
                <w:noProof/>
                <w:lang w:val="el-GR"/>
              </w:rPr>
              <w:t>2.1 Η έννοια του κινδύνου αγοράς</w:t>
            </w:r>
            <w:r>
              <w:rPr>
                <w:noProof/>
                <w:webHidden/>
              </w:rPr>
              <w:tab/>
            </w:r>
            <w:r>
              <w:rPr>
                <w:noProof/>
                <w:webHidden/>
              </w:rPr>
              <w:fldChar w:fldCharType="begin"/>
            </w:r>
            <w:r>
              <w:rPr>
                <w:noProof/>
                <w:webHidden/>
              </w:rPr>
              <w:instrText xml:space="preserve"> PAGEREF _Toc232171069 \h </w:instrText>
            </w:r>
            <w:r>
              <w:rPr>
                <w:noProof/>
                <w:webHidden/>
              </w:rPr>
            </w:r>
            <w:r>
              <w:rPr>
                <w:noProof/>
                <w:webHidden/>
              </w:rPr>
              <w:fldChar w:fldCharType="separate"/>
            </w:r>
            <w:r w:rsidR="00ED67BB">
              <w:rPr>
                <w:noProof/>
                <w:webHidden/>
              </w:rPr>
              <w:t>12</w:t>
            </w:r>
            <w:r>
              <w:rPr>
                <w:noProof/>
                <w:webHidden/>
              </w:rPr>
              <w:fldChar w:fldCharType="end"/>
            </w:r>
          </w:hyperlink>
        </w:p>
        <w:p w14:paraId="024698FB" w14:textId="56F7C452"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70" w:history="1">
            <w:r w:rsidRPr="00CF6B9C">
              <w:rPr>
                <w:rStyle w:val="-"/>
                <w:noProof/>
                <w:lang w:val="el-GR"/>
              </w:rPr>
              <w:t xml:space="preserve">2.2 Η </w:t>
            </w:r>
            <w:r w:rsidRPr="00CF6B9C">
              <w:rPr>
                <w:rStyle w:val="-"/>
                <w:noProof/>
              </w:rPr>
              <w:t>Value</w:t>
            </w:r>
            <w:r w:rsidRPr="00CF6B9C">
              <w:rPr>
                <w:rStyle w:val="-"/>
                <w:noProof/>
                <w:lang w:val="el-GR"/>
              </w:rPr>
              <w:t xml:space="preserve"> </w:t>
            </w:r>
            <w:r w:rsidRPr="00CF6B9C">
              <w:rPr>
                <w:rStyle w:val="-"/>
                <w:noProof/>
              </w:rPr>
              <w:t>at</w:t>
            </w:r>
            <w:r w:rsidRPr="00CF6B9C">
              <w:rPr>
                <w:rStyle w:val="-"/>
                <w:noProof/>
                <w:lang w:val="el-GR"/>
              </w:rPr>
              <w:t xml:space="preserve"> </w:t>
            </w:r>
            <w:r w:rsidRPr="00CF6B9C">
              <w:rPr>
                <w:rStyle w:val="-"/>
                <w:noProof/>
              </w:rPr>
              <w:t>Risk</w:t>
            </w:r>
            <w:r w:rsidRPr="00CF6B9C">
              <w:rPr>
                <w:rStyle w:val="-"/>
                <w:noProof/>
                <w:lang w:val="el-GR"/>
              </w:rPr>
              <w:t xml:space="preserve"> ως μέτρο κινδύνου αγοράς</w:t>
            </w:r>
            <w:r>
              <w:rPr>
                <w:noProof/>
                <w:webHidden/>
              </w:rPr>
              <w:tab/>
            </w:r>
            <w:r>
              <w:rPr>
                <w:noProof/>
                <w:webHidden/>
              </w:rPr>
              <w:fldChar w:fldCharType="begin"/>
            </w:r>
            <w:r>
              <w:rPr>
                <w:noProof/>
                <w:webHidden/>
              </w:rPr>
              <w:instrText xml:space="preserve"> PAGEREF _Toc232171070 \h </w:instrText>
            </w:r>
            <w:r>
              <w:rPr>
                <w:noProof/>
                <w:webHidden/>
              </w:rPr>
            </w:r>
            <w:r>
              <w:rPr>
                <w:noProof/>
                <w:webHidden/>
              </w:rPr>
              <w:fldChar w:fldCharType="separate"/>
            </w:r>
            <w:r w:rsidR="00ED67BB">
              <w:rPr>
                <w:noProof/>
                <w:webHidden/>
              </w:rPr>
              <w:t>13</w:t>
            </w:r>
            <w:r>
              <w:rPr>
                <w:noProof/>
                <w:webHidden/>
              </w:rPr>
              <w:fldChar w:fldCharType="end"/>
            </w:r>
          </w:hyperlink>
        </w:p>
        <w:p w14:paraId="69679518" w14:textId="1E3432FB"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71" w:history="1">
            <w:r w:rsidRPr="00CF6B9C">
              <w:rPr>
                <w:rStyle w:val="-"/>
                <w:noProof/>
                <w:lang w:val="el-GR"/>
              </w:rPr>
              <w:t xml:space="preserve">2.3 Βασικές μέθοδοι υπολογισμού </w:t>
            </w:r>
            <w:r w:rsidRPr="00CF6B9C">
              <w:rPr>
                <w:rStyle w:val="-"/>
                <w:noProof/>
              </w:rPr>
              <w:t>VaR</w:t>
            </w:r>
            <w:r>
              <w:rPr>
                <w:noProof/>
                <w:webHidden/>
              </w:rPr>
              <w:tab/>
            </w:r>
            <w:r>
              <w:rPr>
                <w:noProof/>
                <w:webHidden/>
              </w:rPr>
              <w:fldChar w:fldCharType="begin"/>
            </w:r>
            <w:r>
              <w:rPr>
                <w:noProof/>
                <w:webHidden/>
              </w:rPr>
              <w:instrText xml:space="preserve"> PAGEREF _Toc232171071 \h </w:instrText>
            </w:r>
            <w:r>
              <w:rPr>
                <w:noProof/>
                <w:webHidden/>
              </w:rPr>
            </w:r>
            <w:r>
              <w:rPr>
                <w:noProof/>
                <w:webHidden/>
              </w:rPr>
              <w:fldChar w:fldCharType="separate"/>
            </w:r>
            <w:r w:rsidR="00ED67BB">
              <w:rPr>
                <w:noProof/>
                <w:webHidden/>
              </w:rPr>
              <w:t>14</w:t>
            </w:r>
            <w:r>
              <w:rPr>
                <w:noProof/>
                <w:webHidden/>
              </w:rPr>
              <w:fldChar w:fldCharType="end"/>
            </w:r>
          </w:hyperlink>
        </w:p>
        <w:p w14:paraId="45CFB79A" w14:textId="06EF807F"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72" w:history="1">
            <w:r w:rsidRPr="00CF6B9C">
              <w:rPr>
                <w:rStyle w:val="-"/>
                <w:noProof/>
                <w:lang w:val="el-GR"/>
              </w:rPr>
              <w:t xml:space="preserve">2.4 </w:t>
            </w:r>
            <w:r w:rsidRPr="00CF6B9C">
              <w:rPr>
                <w:rStyle w:val="-"/>
                <w:noProof/>
              </w:rPr>
              <w:t>Historical</w:t>
            </w:r>
            <w:r w:rsidRPr="00CF6B9C">
              <w:rPr>
                <w:rStyle w:val="-"/>
                <w:noProof/>
                <w:lang w:val="el-GR"/>
              </w:rPr>
              <w:t xml:space="preserve"> </w:t>
            </w:r>
            <w:r w:rsidRPr="00CF6B9C">
              <w:rPr>
                <w:rStyle w:val="-"/>
                <w:noProof/>
              </w:rPr>
              <w:t>VaR</w:t>
            </w:r>
            <w:r>
              <w:rPr>
                <w:noProof/>
                <w:webHidden/>
              </w:rPr>
              <w:tab/>
            </w:r>
            <w:r>
              <w:rPr>
                <w:noProof/>
                <w:webHidden/>
              </w:rPr>
              <w:fldChar w:fldCharType="begin"/>
            </w:r>
            <w:r>
              <w:rPr>
                <w:noProof/>
                <w:webHidden/>
              </w:rPr>
              <w:instrText xml:space="preserve"> PAGEREF _Toc232171072 \h </w:instrText>
            </w:r>
            <w:r>
              <w:rPr>
                <w:noProof/>
                <w:webHidden/>
              </w:rPr>
            </w:r>
            <w:r>
              <w:rPr>
                <w:noProof/>
                <w:webHidden/>
              </w:rPr>
              <w:fldChar w:fldCharType="separate"/>
            </w:r>
            <w:r w:rsidR="00ED67BB">
              <w:rPr>
                <w:noProof/>
                <w:webHidden/>
              </w:rPr>
              <w:t>15</w:t>
            </w:r>
            <w:r>
              <w:rPr>
                <w:noProof/>
                <w:webHidden/>
              </w:rPr>
              <w:fldChar w:fldCharType="end"/>
            </w:r>
          </w:hyperlink>
        </w:p>
        <w:p w14:paraId="4CC35F6B" w14:textId="6CFEDE77"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73" w:history="1">
            <w:r w:rsidRPr="00CF6B9C">
              <w:rPr>
                <w:rStyle w:val="-"/>
                <w:noProof/>
                <w:lang w:val="el-GR"/>
              </w:rPr>
              <w:t xml:space="preserve">2.5 </w:t>
            </w:r>
            <w:r w:rsidRPr="00CF6B9C">
              <w:rPr>
                <w:rStyle w:val="-"/>
                <w:noProof/>
              </w:rPr>
              <w:t>EWMA</w:t>
            </w:r>
            <w:r w:rsidRPr="00CF6B9C">
              <w:rPr>
                <w:rStyle w:val="-"/>
                <w:noProof/>
                <w:lang w:val="el-GR"/>
              </w:rPr>
              <w:t xml:space="preserve"> </w:t>
            </w:r>
            <w:r w:rsidRPr="00CF6B9C">
              <w:rPr>
                <w:rStyle w:val="-"/>
                <w:noProof/>
              </w:rPr>
              <w:t>VaR</w:t>
            </w:r>
            <w:r>
              <w:rPr>
                <w:noProof/>
                <w:webHidden/>
              </w:rPr>
              <w:tab/>
            </w:r>
            <w:r>
              <w:rPr>
                <w:noProof/>
                <w:webHidden/>
              </w:rPr>
              <w:fldChar w:fldCharType="begin"/>
            </w:r>
            <w:r>
              <w:rPr>
                <w:noProof/>
                <w:webHidden/>
              </w:rPr>
              <w:instrText xml:space="preserve"> PAGEREF _Toc232171073 \h </w:instrText>
            </w:r>
            <w:r>
              <w:rPr>
                <w:noProof/>
                <w:webHidden/>
              </w:rPr>
            </w:r>
            <w:r>
              <w:rPr>
                <w:noProof/>
                <w:webHidden/>
              </w:rPr>
              <w:fldChar w:fldCharType="separate"/>
            </w:r>
            <w:r w:rsidR="00ED67BB">
              <w:rPr>
                <w:noProof/>
                <w:webHidden/>
              </w:rPr>
              <w:t>16</w:t>
            </w:r>
            <w:r>
              <w:rPr>
                <w:noProof/>
                <w:webHidden/>
              </w:rPr>
              <w:fldChar w:fldCharType="end"/>
            </w:r>
          </w:hyperlink>
        </w:p>
        <w:p w14:paraId="7E3068DB" w14:textId="6855EA0D"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74" w:history="1">
            <w:r w:rsidRPr="00CF6B9C">
              <w:rPr>
                <w:rStyle w:val="-"/>
                <w:noProof/>
                <w:lang w:val="el-GR"/>
              </w:rPr>
              <w:t xml:space="preserve">2.6 </w:t>
            </w:r>
            <w:r w:rsidRPr="00CF6B9C">
              <w:rPr>
                <w:rStyle w:val="-"/>
                <w:noProof/>
              </w:rPr>
              <w:t>Backtesting</w:t>
            </w:r>
            <w:r w:rsidRPr="00CF6B9C">
              <w:rPr>
                <w:rStyle w:val="-"/>
                <w:noProof/>
                <w:lang w:val="el-GR"/>
              </w:rPr>
              <w:t xml:space="preserve"> και έλεγχος </w:t>
            </w:r>
            <w:r w:rsidRPr="00CF6B9C">
              <w:rPr>
                <w:rStyle w:val="-"/>
                <w:noProof/>
              </w:rPr>
              <w:t>Kupiec</w:t>
            </w:r>
            <w:r>
              <w:rPr>
                <w:noProof/>
                <w:webHidden/>
              </w:rPr>
              <w:tab/>
            </w:r>
            <w:r>
              <w:rPr>
                <w:noProof/>
                <w:webHidden/>
              </w:rPr>
              <w:fldChar w:fldCharType="begin"/>
            </w:r>
            <w:r>
              <w:rPr>
                <w:noProof/>
                <w:webHidden/>
              </w:rPr>
              <w:instrText xml:space="preserve"> PAGEREF _Toc232171074 \h </w:instrText>
            </w:r>
            <w:r>
              <w:rPr>
                <w:noProof/>
                <w:webHidden/>
              </w:rPr>
            </w:r>
            <w:r>
              <w:rPr>
                <w:noProof/>
                <w:webHidden/>
              </w:rPr>
              <w:fldChar w:fldCharType="separate"/>
            </w:r>
            <w:r w:rsidR="00ED67BB">
              <w:rPr>
                <w:noProof/>
                <w:webHidden/>
              </w:rPr>
              <w:t>17</w:t>
            </w:r>
            <w:r>
              <w:rPr>
                <w:noProof/>
                <w:webHidden/>
              </w:rPr>
              <w:fldChar w:fldCharType="end"/>
            </w:r>
          </w:hyperlink>
        </w:p>
        <w:p w14:paraId="2233835C" w14:textId="1695DBB6"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75" w:history="1">
            <w:r w:rsidRPr="00CF6B9C">
              <w:rPr>
                <w:rStyle w:val="-"/>
                <w:noProof/>
                <w:lang w:val="el-GR"/>
              </w:rPr>
              <w:t xml:space="preserve">2.7 Αντιστάθμιση με </w:t>
            </w:r>
            <w:r w:rsidRPr="00CF6B9C">
              <w:rPr>
                <w:rStyle w:val="-"/>
                <w:noProof/>
              </w:rPr>
              <w:t>futures</w:t>
            </w:r>
            <w:r>
              <w:rPr>
                <w:noProof/>
                <w:webHidden/>
              </w:rPr>
              <w:tab/>
            </w:r>
            <w:r>
              <w:rPr>
                <w:noProof/>
                <w:webHidden/>
              </w:rPr>
              <w:fldChar w:fldCharType="begin"/>
            </w:r>
            <w:r>
              <w:rPr>
                <w:noProof/>
                <w:webHidden/>
              </w:rPr>
              <w:instrText xml:space="preserve"> PAGEREF _Toc232171075 \h </w:instrText>
            </w:r>
            <w:r>
              <w:rPr>
                <w:noProof/>
                <w:webHidden/>
              </w:rPr>
            </w:r>
            <w:r>
              <w:rPr>
                <w:noProof/>
                <w:webHidden/>
              </w:rPr>
              <w:fldChar w:fldCharType="separate"/>
            </w:r>
            <w:r w:rsidR="00ED67BB">
              <w:rPr>
                <w:noProof/>
                <w:webHidden/>
              </w:rPr>
              <w:t>18</w:t>
            </w:r>
            <w:r>
              <w:rPr>
                <w:noProof/>
                <w:webHidden/>
              </w:rPr>
              <w:fldChar w:fldCharType="end"/>
            </w:r>
          </w:hyperlink>
        </w:p>
        <w:p w14:paraId="2D43262E" w14:textId="2E697930"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76" w:history="1">
            <w:r w:rsidRPr="00CF6B9C">
              <w:rPr>
                <w:rStyle w:val="-"/>
                <w:noProof/>
                <w:lang w:val="el-GR"/>
              </w:rPr>
              <w:t>2.8 Σύνθεση βιβλιογραφίας και επιλογή μεθόδων</w:t>
            </w:r>
            <w:r>
              <w:rPr>
                <w:noProof/>
                <w:webHidden/>
              </w:rPr>
              <w:tab/>
            </w:r>
            <w:r>
              <w:rPr>
                <w:noProof/>
                <w:webHidden/>
              </w:rPr>
              <w:fldChar w:fldCharType="begin"/>
            </w:r>
            <w:r>
              <w:rPr>
                <w:noProof/>
                <w:webHidden/>
              </w:rPr>
              <w:instrText xml:space="preserve"> PAGEREF _Toc232171076 \h </w:instrText>
            </w:r>
            <w:r>
              <w:rPr>
                <w:noProof/>
                <w:webHidden/>
              </w:rPr>
            </w:r>
            <w:r>
              <w:rPr>
                <w:noProof/>
                <w:webHidden/>
              </w:rPr>
              <w:fldChar w:fldCharType="separate"/>
            </w:r>
            <w:r w:rsidR="00ED67BB">
              <w:rPr>
                <w:noProof/>
                <w:webHidden/>
              </w:rPr>
              <w:t>19</w:t>
            </w:r>
            <w:r>
              <w:rPr>
                <w:noProof/>
                <w:webHidden/>
              </w:rPr>
              <w:fldChar w:fldCharType="end"/>
            </w:r>
          </w:hyperlink>
        </w:p>
        <w:p w14:paraId="041C90AD" w14:textId="0134D4D3"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77" w:history="1">
            <w:r w:rsidRPr="00CF6B9C">
              <w:rPr>
                <w:rStyle w:val="-"/>
                <w:noProof/>
                <w:lang w:val="el-GR"/>
              </w:rPr>
              <w:t xml:space="preserve">2.9 Επίπεδο εμπιστοσύνης, χρονικός ορίζοντας και ερμηνεία της </w:t>
            </w:r>
            <w:r w:rsidRPr="00CF6B9C">
              <w:rPr>
                <w:rStyle w:val="-"/>
                <w:noProof/>
              </w:rPr>
              <w:t>VaR</w:t>
            </w:r>
            <w:r>
              <w:rPr>
                <w:noProof/>
                <w:webHidden/>
              </w:rPr>
              <w:tab/>
            </w:r>
            <w:r>
              <w:rPr>
                <w:noProof/>
                <w:webHidden/>
              </w:rPr>
              <w:fldChar w:fldCharType="begin"/>
            </w:r>
            <w:r>
              <w:rPr>
                <w:noProof/>
                <w:webHidden/>
              </w:rPr>
              <w:instrText xml:space="preserve"> PAGEREF _Toc232171077 \h </w:instrText>
            </w:r>
            <w:r>
              <w:rPr>
                <w:noProof/>
                <w:webHidden/>
              </w:rPr>
            </w:r>
            <w:r>
              <w:rPr>
                <w:noProof/>
                <w:webHidden/>
              </w:rPr>
              <w:fldChar w:fldCharType="separate"/>
            </w:r>
            <w:r w:rsidR="00ED67BB">
              <w:rPr>
                <w:noProof/>
                <w:webHidden/>
              </w:rPr>
              <w:t>20</w:t>
            </w:r>
            <w:r>
              <w:rPr>
                <w:noProof/>
                <w:webHidden/>
              </w:rPr>
              <w:fldChar w:fldCharType="end"/>
            </w:r>
          </w:hyperlink>
        </w:p>
        <w:p w14:paraId="56E6E7C8" w14:textId="2A2E4601" w:rsidR="000D6D82" w:rsidRDefault="000D6D82">
          <w:pPr>
            <w:pStyle w:val="14"/>
            <w:tabs>
              <w:tab w:val="right" w:leader="dot" w:pos="9112"/>
            </w:tabs>
            <w:rPr>
              <w:rFonts w:asciiTheme="minorHAnsi" w:eastAsiaTheme="minorEastAsia" w:hAnsiTheme="minorHAnsi"/>
              <w:noProof/>
              <w:kern w:val="2"/>
              <w:szCs w:val="24"/>
              <w:lang w:val="el-GR" w:eastAsia="el-GR"/>
              <w14:ligatures w14:val="standardContextual"/>
            </w:rPr>
          </w:pPr>
          <w:hyperlink w:anchor="_Toc232171078" w:history="1">
            <w:r w:rsidRPr="00CF6B9C">
              <w:rPr>
                <w:rStyle w:val="-"/>
                <w:noProof/>
                <w:lang w:val="el-GR"/>
              </w:rPr>
              <w:t>Κεφάλαιο 3: Δεδομένα και Μεθοδολογία</w:t>
            </w:r>
            <w:r>
              <w:rPr>
                <w:noProof/>
                <w:webHidden/>
              </w:rPr>
              <w:tab/>
            </w:r>
            <w:r>
              <w:rPr>
                <w:noProof/>
                <w:webHidden/>
              </w:rPr>
              <w:fldChar w:fldCharType="begin"/>
            </w:r>
            <w:r>
              <w:rPr>
                <w:noProof/>
                <w:webHidden/>
              </w:rPr>
              <w:instrText xml:space="preserve"> PAGEREF _Toc232171078 \h </w:instrText>
            </w:r>
            <w:r>
              <w:rPr>
                <w:noProof/>
                <w:webHidden/>
              </w:rPr>
            </w:r>
            <w:r>
              <w:rPr>
                <w:noProof/>
                <w:webHidden/>
              </w:rPr>
              <w:fldChar w:fldCharType="separate"/>
            </w:r>
            <w:r w:rsidR="00ED67BB">
              <w:rPr>
                <w:noProof/>
                <w:webHidden/>
              </w:rPr>
              <w:t>21</w:t>
            </w:r>
            <w:r>
              <w:rPr>
                <w:noProof/>
                <w:webHidden/>
              </w:rPr>
              <w:fldChar w:fldCharType="end"/>
            </w:r>
          </w:hyperlink>
        </w:p>
        <w:p w14:paraId="7356C091" w14:textId="5BC8757B"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79" w:history="1">
            <w:r w:rsidRPr="00CF6B9C">
              <w:rPr>
                <w:rStyle w:val="-"/>
                <w:noProof/>
                <w:lang w:val="el-GR"/>
              </w:rPr>
              <w:t>3.1 Ερευνητικός σχεδιασμός</w:t>
            </w:r>
            <w:r>
              <w:rPr>
                <w:noProof/>
                <w:webHidden/>
              </w:rPr>
              <w:tab/>
            </w:r>
            <w:r>
              <w:rPr>
                <w:noProof/>
                <w:webHidden/>
              </w:rPr>
              <w:fldChar w:fldCharType="begin"/>
            </w:r>
            <w:r>
              <w:rPr>
                <w:noProof/>
                <w:webHidden/>
              </w:rPr>
              <w:instrText xml:space="preserve"> PAGEREF _Toc232171079 \h </w:instrText>
            </w:r>
            <w:r>
              <w:rPr>
                <w:noProof/>
                <w:webHidden/>
              </w:rPr>
            </w:r>
            <w:r>
              <w:rPr>
                <w:noProof/>
                <w:webHidden/>
              </w:rPr>
              <w:fldChar w:fldCharType="separate"/>
            </w:r>
            <w:r w:rsidR="00ED67BB">
              <w:rPr>
                <w:noProof/>
                <w:webHidden/>
              </w:rPr>
              <w:t>21</w:t>
            </w:r>
            <w:r>
              <w:rPr>
                <w:noProof/>
                <w:webHidden/>
              </w:rPr>
              <w:fldChar w:fldCharType="end"/>
            </w:r>
          </w:hyperlink>
        </w:p>
        <w:p w14:paraId="62265D81" w14:textId="73E76BDE"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80" w:history="1">
            <w:r w:rsidRPr="00CF6B9C">
              <w:rPr>
                <w:rStyle w:val="-"/>
                <w:noProof/>
                <w:lang w:val="el-GR"/>
              </w:rPr>
              <w:t>3.2 Δεδομένα της εμπειρικής ανάλυσης</w:t>
            </w:r>
            <w:r>
              <w:rPr>
                <w:noProof/>
                <w:webHidden/>
              </w:rPr>
              <w:tab/>
            </w:r>
            <w:r>
              <w:rPr>
                <w:noProof/>
                <w:webHidden/>
              </w:rPr>
              <w:fldChar w:fldCharType="begin"/>
            </w:r>
            <w:r>
              <w:rPr>
                <w:noProof/>
                <w:webHidden/>
              </w:rPr>
              <w:instrText xml:space="preserve"> PAGEREF _Toc232171080 \h </w:instrText>
            </w:r>
            <w:r>
              <w:rPr>
                <w:noProof/>
                <w:webHidden/>
              </w:rPr>
            </w:r>
            <w:r>
              <w:rPr>
                <w:noProof/>
                <w:webHidden/>
              </w:rPr>
              <w:fldChar w:fldCharType="separate"/>
            </w:r>
            <w:r w:rsidR="00ED67BB">
              <w:rPr>
                <w:noProof/>
                <w:webHidden/>
              </w:rPr>
              <w:t>21</w:t>
            </w:r>
            <w:r>
              <w:rPr>
                <w:noProof/>
                <w:webHidden/>
              </w:rPr>
              <w:fldChar w:fldCharType="end"/>
            </w:r>
          </w:hyperlink>
        </w:p>
        <w:p w14:paraId="74DE0E2E" w14:textId="056D9A7C"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81" w:history="1">
            <w:r w:rsidRPr="00CF6B9C">
              <w:rPr>
                <w:rStyle w:val="-"/>
                <w:noProof/>
                <w:lang w:val="el-GR"/>
              </w:rPr>
              <w:t>3.3 Κατασκευή του χαρτοφυλακίου</w:t>
            </w:r>
            <w:r>
              <w:rPr>
                <w:noProof/>
                <w:webHidden/>
              </w:rPr>
              <w:tab/>
            </w:r>
            <w:r>
              <w:rPr>
                <w:noProof/>
                <w:webHidden/>
              </w:rPr>
              <w:fldChar w:fldCharType="begin"/>
            </w:r>
            <w:r>
              <w:rPr>
                <w:noProof/>
                <w:webHidden/>
              </w:rPr>
              <w:instrText xml:space="preserve"> PAGEREF _Toc232171081 \h </w:instrText>
            </w:r>
            <w:r>
              <w:rPr>
                <w:noProof/>
                <w:webHidden/>
              </w:rPr>
            </w:r>
            <w:r>
              <w:rPr>
                <w:noProof/>
                <w:webHidden/>
              </w:rPr>
              <w:fldChar w:fldCharType="separate"/>
            </w:r>
            <w:r w:rsidR="00ED67BB">
              <w:rPr>
                <w:noProof/>
                <w:webHidden/>
              </w:rPr>
              <w:t>23</w:t>
            </w:r>
            <w:r>
              <w:rPr>
                <w:noProof/>
                <w:webHidden/>
              </w:rPr>
              <w:fldChar w:fldCharType="end"/>
            </w:r>
          </w:hyperlink>
        </w:p>
        <w:p w14:paraId="05D2DF45" w14:textId="2EF94C53"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82" w:history="1">
            <w:r w:rsidRPr="00CF6B9C">
              <w:rPr>
                <w:rStyle w:val="-"/>
                <w:noProof/>
                <w:lang w:val="el-GR"/>
              </w:rPr>
              <w:t xml:space="preserve">3.4 Υπολογισμός </w:t>
            </w:r>
            <w:r w:rsidRPr="00CF6B9C">
              <w:rPr>
                <w:rStyle w:val="-"/>
                <w:noProof/>
              </w:rPr>
              <w:t>Historical</w:t>
            </w:r>
            <w:r w:rsidRPr="00CF6B9C">
              <w:rPr>
                <w:rStyle w:val="-"/>
                <w:noProof/>
                <w:lang w:val="el-GR"/>
              </w:rPr>
              <w:t xml:space="preserve"> </w:t>
            </w:r>
            <w:r w:rsidRPr="00CF6B9C">
              <w:rPr>
                <w:rStyle w:val="-"/>
                <w:noProof/>
              </w:rPr>
              <w:t>VaR</w:t>
            </w:r>
            <w:r>
              <w:rPr>
                <w:noProof/>
                <w:webHidden/>
              </w:rPr>
              <w:tab/>
            </w:r>
            <w:r>
              <w:rPr>
                <w:noProof/>
                <w:webHidden/>
              </w:rPr>
              <w:fldChar w:fldCharType="begin"/>
            </w:r>
            <w:r>
              <w:rPr>
                <w:noProof/>
                <w:webHidden/>
              </w:rPr>
              <w:instrText xml:space="preserve"> PAGEREF _Toc232171082 \h </w:instrText>
            </w:r>
            <w:r>
              <w:rPr>
                <w:noProof/>
                <w:webHidden/>
              </w:rPr>
            </w:r>
            <w:r>
              <w:rPr>
                <w:noProof/>
                <w:webHidden/>
              </w:rPr>
              <w:fldChar w:fldCharType="separate"/>
            </w:r>
            <w:r w:rsidR="00ED67BB">
              <w:rPr>
                <w:noProof/>
                <w:webHidden/>
              </w:rPr>
              <w:t>23</w:t>
            </w:r>
            <w:r>
              <w:rPr>
                <w:noProof/>
                <w:webHidden/>
              </w:rPr>
              <w:fldChar w:fldCharType="end"/>
            </w:r>
          </w:hyperlink>
        </w:p>
        <w:p w14:paraId="05CC048E" w14:textId="570E3313"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83" w:history="1">
            <w:r w:rsidRPr="00CF6B9C">
              <w:rPr>
                <w:rStyle w:val="-"/>
                <w:noProof/>
                <w:lang w:val="el-GR"/>
              </w:rPr>
              <w:t xml:space="preserve">3.5 Υπολογισμός </w:t>
            </w:r>
            <w:r w:rsidRPr="00CF6B9C">
              <w:rPr>
                <w:rStyle w:val="-"/>
                <w:noProof/>
              </w:rPr>
              <w:t>EWMA</w:t>
            </w:r>
            <w:r w:rsidRPr="00CF6B9C">
              <w:rPr>
                <w:rStyle w:val="-"/>
                <w:noProof/>
                <w:lang w:val="el-GR"/>
              </w:rPr>
              <w:t xml:space="preserve"> </w:t>
            </w:r>
            <w:r w:rsidRPr="00CF6B9C">
              <w:rPr>
                <w:rStyle w:val="-"/>
                <w:noProof/>
              </w:rPr>
              <w:t>VaR</w:t>
            </w:r>
            <w:r>
              <w:rPr>
                <w:noProof/>
                <w:webHidden/>
              </w:rPr>
              <w:tab/>
            </w:r>
            <w:r>
              <w:rPr>
                <w:noProof/>
                <w:webHidden/>
              </w:rPr>
              <w:fldChar w:fldCharType="begin"/>
            </w:r>
            <w:r>
              <w:rPr>
                <w:noProof/>
                <w:webHidden/>
              </w:rPr>
              <w:instrText xml:space="preserve"> PAGEREF _Toc232171083 \h </w:instrText>
            </w:r>
            <w:r>
              <w:rPr>
                <w:noProof/>
                <w:webHidden/>
              </w:rPr>
            </w:r>
            <w:r>
              <w:rPr>
                <w:noProof/>
                <w:webHidden/>
              </w:rPr>
              <w:fldChar w:fldCharType="separate"/>
            </w:r>
            <w:r w:rsidR="00ED67BB">
              <w:rPr>
                <w:noProof/>
                <w:webHidden/>
              </w:rPr>
              <w:t>24</w:t>
            </w:r>
            <w:r>
              <w:rPr>
                <w:noProof/>
                <w:webHidden/>
              </w:rPr>
              <w:fldChar w:fldCharType="end"/>
            </w:r>
          </w:hyperlink>
        </w:p>
        <w:p w14:paraId="7ED76EAF" w14:textId="27A2D95C"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84" w:history="1">
            <w:r w:rsidRPr="00CF6B9C">
              <w:rPr>
                <w:rStyle w:val="-"/>
                <w:noProof/>
                <w:lang w:val="el-GR"/>
              </w:rPr>
              <w:t xml:space="preserve">3.6 </w:t>
            </w:r>
            <w:r w:rsidRPr="00CF6B9C">
              <w:rPr>
                <w:rStyle w:val="-"/>
                <w:noProof/>
              </w:rPr>
              <w:t>Backtesting</w:t>
            </w:r>
            <w:r>
              <w:rPr>
                <w:noProof/>
                <w:webHidden/>
              </w:rPr>
              <w:tab/>
            </w:r>
            <w:r>
              <w:rPr>
                <w:noProof/>
                <w:webHidden/>
              </w:rPr>
              <w:fldChar w:fldCharType="begin"/>
            </w:r>
            <w:r>
              <w:rPr>
                <w:noProof/>
                <w:webHidden/>
              </w:rPr>
              <w:instrText xml:space="preserve"> PAGEREF _Toc232171084 \h </w:instrText>
            </w:r>
            <w:r>
              <w:rPr>
                <w:noProof/>
                <w:webHidden/>
              </w:rPr>
            </w:r>
            <w:r>
              <w:rPr>
                <w:noProof/>
                <w:webHidden/>
              </w:rPr>
              <w:fldChar w:fldCharType="separate"/>
            </w:r>
            <w:r w:rsidR="00ED67BB">
              <w:rPr>
                <w:noProof/>
                <w:webHidden/>
              </w:rPr>
              <w:t>24</w:t>
            </w:r>
            <w:r>
              <w:rPr>
                <w:noProof/>
                <w:webHidden/>
              </w:rPr>
              <w:fldChar w:fldCharType="end"/>
            </w:r>
          </w:hyperlink>
        </w:p>
        <w:p w14:paraId="29BE2B22" w14:textId="26722640"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85" w:history="1">
            <w:r w:rsidRPr="00CF6B9C">
              <w:rPr>
                <w:rStyle w:val="-"/>
                <w:noProof/>
                <w:lang w:val="el-GR"/>
              </w:rPr>
              <w:t>3.7 Μεθοδολογία αντιστάθμισης</w:t>
            </w:r>
            <w:r>
              <w:rPr>
                <w:noProof/>
                <w:webHidden/>
              </w:rPr>
              <w:tab/>
            </w:r>
            <w:r>
              <w:rPr>
                <w:noProof/>
                <w:webHidden/>
              </w:rPr>
              <w:fldChar w:fldCharType="begin"/>
            </w:r>
            <w:r>
              <w:rPr>
                <w:noProof/>
                <w:webHidden/>
              </w:rPr>
              <w:instrText xml:space="preserve"> PAGEREF _Toc232171085 \h </w:instrText>
            </w:r>
            <w:r>
              <w:rPr>
                <w:noProof/>
                <w:webHidden/>
              </w:rPr>
            </w:r>
            <w:r>
              <w:rPr>
                <w:noProof/>
                <w:webHidden/>
              </w:rPr>
              <w:fldChar w:fldCharType="separate"/>
            </w:r>
            <w:r w:rsidR="00ED67BB">
              <w:rPr>
                <w:noProof/>
                <w:webHidden/>
              </w:rPr>
              <w:t>25</w:t>
            </w:r>
            <w:r>
              <w:rPr>
                <w:noProof/>
                <w:webHidden/>
              </w:rPr>
              <w:fldChar w:fldCharType="end"/>
            </w:r>
          </w:hyperlink>
        </w:p>
        <w:p w14:paraId="7F897F0E" w14:textId="11B1C052"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86" w:history="1">
            <w:r w:rsidRPr="00CF6B9C">
              <w:rPr>
                <w:rStyle w:val="-"/>
                <w:noProof/>
                <w:lang w:val="el-GR"/>
              </w:rPr>
              <w:t>3.8 Μεθοδολογικοί περιορισμοί</w:t>
            </w:r>
            <w:r>
              <w:rPr>
                <w:noProof/>
                <w:webHidden/>
              </w:rPr>
              <w:tab/>
            </w:r>
            <w:r>
              <w:rPr>
                <w:noProof/>
                <w:webHidden/>
              </w:rPr>
              <w:fldChar w:fldCharType="begin"/>
            </w:r>
            <w:r>
              <w:rPr>
                <w:noProof/>
                <w:webHidden/>
              </w:rPr>
              <w:instrText xml:space="preserve"> PAGEREF _Toc232171086 \h </w:instrText>
            </w:r>
            <w:r>
              <w:rPr>
                <w:noProof/>
                <w:webHidden/>
              </w:rPr>
            </w:r>
            <w:r>
              <w:rPr>
                <w:noProof/>
                <w:webHidden/>
              </w:rPr>
              <w:fldChar w:fldCharType="separate"/>
            </w:r>
            <w:r w:rsidR="00ED67BB">
              <w:rPr>
                <w:noProof/>
                <w:webHidden/>
              </w:rPr>
              <w:t>25</w:t>
            </w:r>
            <w:r>
              <w:rPr>
                <w:noProof/>
                <w:webHidden/>
              </w:rPr>
              <w:fldChar w:fldCharType="end"/>
            </w:r>
          </w:hyperlink>
        </w:p>
        <w:p w14:paraId="58DC35C5" w14:textId="0B58A53A"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87" w:history="1">
            <w:r w:rsidRPr="00CF6B9C">
              <w:rPr>
                <w:rStyle w:val="-"/>
                <w:noProof/>
                <w:lang w:val="el-GR"/>
              </w:rPr>
              <w:t xml:space="preserve">3.9 Αναπαραγωγιμότητα και υλοποίηση στο </w:t>
            </w:r>
            <w:r w:rsidRPr="00CF6B9C">
              <w:rPr>
                <w:rStyle w:val="-"/>
                <w:noProof/>
              </w:rPr>
              <w:t>Excel</w:t>
            </w:r>
            <w:r>
              <w:rPr>
                <w:noProof/>
                <w:webHidden/>
              </w:rPr>
              <w:tab/>
            </w:r>
            <w:r>
              <w:rPr>
                <w:noProof/>
                <w:webHidden/>
              </w:rPr>
              <w:fldChar w:fldCharType="begin"/>
            </w:r>
            <w:r>
              <w:rPr>
                <w:noProof/>
                <w:webHidden/>
              </w:rPr>
              <w:instrText xml:space="preserve"> PAGEREF _Toc232171087 \h </w:instrText>
            </w:r>
            <w:r>
              <w:rPr>
                <w:noProof/>
                <w:webHidden/>
              </w:rPr>
            </w:r>
            <w:r>
              <w:rPr>
                <w:noProof/>
                <w:webHidden/>
              </w:rPr>
              <w:fldChar w:fldCharType="separate"/>
            </w:r>
            <w:r w:rsidR="00ED67BB">
              <w:rPr>
                <w:noProof/>
                <w:webHidden/>
              </w:rPr>
              <w:t>26</w:t>
            </w:r>
            <w:r>
              <w:rPr>
                <w:noProof/>
                <w:webHidden/>
              </w:rPr>
              <w:fldChar w:fldCharType="end"/>
            </w:r>
          </w:hyperlink>
        </w:p>
        <w:p w14:paraId="13079FCF" w14:textId="15E4599E" w:rsidR="000D6D82" w:rsidRDefault="000D6D82">
          <w:pPr>
            <w:pStyle w:val="14"/>
            <w:tabs>
              <w:tab w:val="right" w:leader="dot" w:pos="9112"/>
            </w:tabs>
            <w:rPr>
              <w:rFonts w:asciiTheme="minorHAnsi" w:eastAsiaTheme="minorEastAsia" w:hAnsiTheme="minorHAnsi"/>
              <w:noProof/>
              <w:kern w:val="2"/>
              <w:szCs w:val="24"/>
              <w:lang w:val="el-GR" w:eastAsia="el-GR"/>
              <w14:ligatures w14:val="standardContextual"/>
            </w:rPr>
          </w:pPr>
          <w:hyperlink w:anchor="_Toc232171088" w:history="1">
            <w:r w:rsidRPr="00CF6B9C">
              <w:rPr>
                <w:rStyle w:val="-"/>
                <w:noProof/>
                <w:lang w:val="el-GR"/>
              </w:rPr>
              <w:t>Κεφάλαιο 4: Εμπειρικά Αποτελέσματα</w:t>
            </w:r>
            <w:r>
              <w:rPr>
                <w:noProof/>
                <w:webHidden/>
              </w:rPr>
              <w:tab/>
            </w:r>
            <w:r>
              <w:rPr>
                <w:noProof/>
                <w:webHidden/>
              </w:rPr>
              <w:fldChar w:fldCharType="begin"/>
            </w:r>
            <w:r>
              <w:rPr>
                <w:noProof/>
                <w:webHidden/>
              </w:rPr>
              <w:instrText xml:space="preserve"> PAGEREF _Toc232171088 \h </w:instrText>
            </w:r>
            <w:r>
              <w:rPr>
                <w:noProof/>
                <w:webHidden/>
              </w:rPr>
            </w:r>
            <w:r>
              <w:rPr>
                <w:noProof/>
                <w:webHidden/>
              </w:rPr>
              <w:fldChar w:fldCharType="separate"/>
            </w:r>
            <w:r w:rsidR="00ED67BB">
              <w:rPr>
                <w:noProof/>
                <w:webHidden/>
              </w:rPr>
              <w:t>26</w:t>
            </w:r>
            <w:r>
              <w:rPr>
                <w:noProof/>
                <w:webHidden/>
              </w:rPr>
              <w:fldChar w:fldCharType="end"/>
            </w:r>
          </w:hyperlink>
        </w:p>
        <w:p w14:paraId="268A887D" w14:textId="0D338690"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89" w:history="1">
            <w:r w:rsidRPr="00CF6B9C">
              <w:rPr>
                <w:rStyle w:val="-"/>
                <w:noProof/>
                <w:lang w:val="el-GR"/>
              </w:rPr>
              <w:t>4.1 Περιγραφική εικόνα των αποδόσεων</w:t>
            </w:r>
            <w:r>
              <w:rPr>
                <w:noProof/>
                <w:webHidden/>
              </w:rPr>
              <w:tab/>
            </w:r>
            <w:r>
              <w:rPr>
                <w:noProof/>
                <w:webHidden/>
              </w:rPr>
              <w:fldChar w:fldCharType="begin"/>
            </w:r>
            <w:r>
              <w:rPr>
                <w:noProof/>
                <w:webHidden/>
              </w:rPr>
              <w:instrText xml:space="preserve"> PAGEREF _Toc232171089 \h </w:instrText>
            </w:r>
            <w:r>
              <w:rPr>
                <w:noProof/>
                <w:webHidden/>
              </w:rPr>
            </w:r>
            <w:r>
              <w:rPr>
                <w:noProof/>
                <w:webHidden/>
              </w:rPr>
              <w:fldChar w:fldCharType="separate"/>
            </w:r>
            <w:r w:rsidR="00ED67BB">
              <w:rPr>
                <w:noProof/>
                <w:webHidden/>
              </w:rPr>
              <w:t>26</w:t>
            </w:r>
            <w:r>
              <w:rPr>
                <w:noProof/>
                <w:webHidden/>
              </w:rPr>
              <w:fldChar w:fldCharType="end"/>
            </w:r>
          </w:hyperlink>
        </w:p>
        <w:p w14:paraId="2BA2F768" w14:textId="716AF6F2"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90" w:history="1">
            <w:r w:rsidRPr="00CF6B9C">
              <w:rPr>
                <w:rStyle w:val="-"/>
                <w:noProof/>
                <w:lang w:val="el-GR"/>
              </w:rPr>
              <w:t xml:space="preserve">4.2 Εκτιμήσεις </w:t>
            </w:r>
            <w:r w:rsidRPr="00CF6B9C">
              <w:rPr>
                <w:rStyle w:val="-"/>
                <w:noProof/>
              </w:rPr>
              <w:t>VaR</w:t>
            </w:r>
            <w:r w:rsidRPr="00CF6B9C">
              <w:rPr>
                <w:rStyle w:val="-"/>
                <w:noProof/>
                <w:lang w:val="el-GR"/>
              </w:rPr>
              <w:t xml:space="preserve"> πριν από την αντιστάθμιση</w:t>
            </w:r>
            <w:r>
              <w:rPr>
                <w:noProof/>
                <w:webHidden/>
              </w:rPr>
              <w:tab/>
            </w:r>
            <w:r>
              <w:rPr>
                <w:noProof/>
                <w:webHidden/>
              </w:rPr>
              <w:fldChar w:fldCharType="begin"/>
            </w:r>
            <w:r>
              <w:rPr>
                <w:noProof/>
                <w:webHidden/>
              </w:rPr>
              <w:instrText xml:space="preserve"> PAGEREF _Toc232171090 \h </w:instrText>
            </w:r>
            <w:r>
              <w:rPr>
                <w:noProof/>
                <w:webHidden/>
              </w:rPr>
            </w:r>
            <w:r>
              <w:rPr>
                <w:noProof/>
                <w:webHidden/>
              </w:rPr>
              <w:fldChar w:fldCharType="separate"/>
            </w:r>
            <w:r w:rsidR="00ED67BB">
              <w:rPr>
                <w:noProof/>
                <w:webHidden/>
              </w:rPr>
              <w:t>28</w:t>
            </w:r>
            <w:r>
              <w:rPr>
                <w:noProof/>
                <w:webHidden/>
              </w:rPr>
              <w:fldChar w:fldCharType="end"/>
            </w:r>
          </w:hyperlink>
        </w:p>
        <w:p w14:paraId="25FA1C03" w14:textId="57B70C87"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91" w:history="1">
            <w:r w:rsidRPr="00CF6B9C">
              <w:rPr>
                <w:rStyle w:val="-"/>
                <w:noProof/>
                <w:lang w:val="el-GR"/>
              </w:rPr>
              <w:t xml:space="preserve">4.3 </w:t>
            </w:r>
            <w:r w:rsidRPr="00CF6B9C">
              <w:rPr>
                <w:rStyle w:val="-"/>
                <w:noProof/>
              </w:rPr>
              <w:t>Backtesting</w:t>
            </w:r>
            <w:r w:rsidRPr="00CF6B9C">
              <w:rPr>
                <w:rStyle w:val="-"/>
                <w:noProof/>
                <w:lang w:val="el-GR"/>
              </w:rPr>
              <w:t xml:space="preserve"> του αρχικού χαρτοφυλακίου</w:t>
            </w:r>
            <w:r>
              <w:rPr>
                <w:noProof/>
                <w:webHidden/>
              </w:rPr>
              <w:tab/>
            </w:r>
            <w:r>
              <w:rPr>
                <w:noProof/>
                <w:webHidden/>
              </w:rPr>
              <w:fldChar w:fldCharType="begin"/>
            </w:r>
            <w:r>
              <w:rPr>
                <w:noProof/>
                <w:webHidden/>
              </w:rPr>
              <w:instrText xml:space="preserve"> PAGEREF _Toc232171091 \h </w:instrText>
            </w:r>
            <w:r>
              <w:rPr>
                <w:noProof/>
                <w:webHidden/>
              </w:rPr>
            </w:r>
            <w:r>
              <w:rPr>
                <w:noProof/>
                <w:webHidden/>
              </w:rPr>
              <w:fldChar w:fldCharType="separate"/>
            </w:r>
            <w:r w:rsidR="00ED67BB">
              <w:rPr>
                <w:noProof/>
                <w:webHidden/>
              </w:rPr>
              <w:t>30</w:t>
            </w:r>
            <w:r>
              <w:rPr>
                <w:noProof/>
                <w:webHidden/>
              </w:rPr>
              <w:fldChar w:fldCharType="end"/>
            </w:r>
          </w:hyperlink>
        </w:p>
        <w:p w14:paraId="071160A8" w14:textId="578E2AF3"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92" w:history="1">
            <w:r w:rsidRPr="00CF6B9C">
              <w:rPr>
                <w:rStyle w:val="-"/>
                <w:noProof/>
                <w:lang w:val="el-GR"/>
              </w:rPr>
              <w:t>4.4 Αποτελέσματα αντιστάθμισης</w:t>
            </w:r>
            <w:r>
              <w:rPr>
                <w:noProof/>
                <w:webHidden/>
              </w:rPr>
              <w:tab/>
            </w:r>
            <w:r>
              <w:rPr>
                <w:noProof/>
                <w:webHidden/>
              </w:rPr>
              <w:fldChar w:fldCharType="begin"/>
            </w:r>
            <w:r>
              <w:rPr>
                <w:noProof/>
                <w:webHidden/>
              </w:rPr>
              <w:instrText xml:space="preserve"> PAGEREF _Toc232171092 \h </w:instrText>
            </w:r>
            <w:r>
              <w:rPr>
                <w:noProof/>
                <w:webHidden/>
              </w:rPr>
            </w:r>
            <w:r>
              <w:rPr>
                <w:noProof/>
                <w:webHidden/>
              </w:rPr>
              <w:fldChar w:fldCharType="separate"/>
            </w:r>
            <w:r w:rsidR="00ED67BB">
              <w:rPr>
                <w:noProof/>
                <w:webHidden/>
              </w:rPr>
              <w:t>32</w:t>
            </w:r>
            <w:r>
              <w:rPr>
                <w:noProof/>
                <w:webHidden/>
              </w:rPr>
              <w:fldChar w:fldCharType="end"/>
            </w:r>
          </w:hyperlink>
        </w:p>
        <w:p w14:paraId="40B5BE09" w14:textId="59AC70A9"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93" w:history="1">
            <w:r w:rsidRPr="00CF6B9C">
              <w:rPr>
                <w:rStyle w:val="-"/>
                <w:noProof/>
                <w:lang w:val="el-GR"/>
              </w:rPr>
              <w:t xml:space="preserve">4.5 </w:t>
            </w:r>
            <w:r w:rsidRPr="00CF6B9C">
              <w:rPr>
                <w:rStyle w:val="-"/>
                <w:noProof/>
              </w:rPr>
              <w:t>VaR</w:t>
            </w:r>
            <w:r w:rsidRPr="00CF6B9C">
              <w:rPr>
                <w:rStyle w:val="-"/>
                <w:noProof/>
                <w:lang w:val="el-GR"/>
              </w:rPr>
              <w:t xml:space="preserve"> και </w:t>
            </w:r>
            <w:r w:rsidRPr="00CF6B9C">
              <w:rPr>
                <w:rStyle w:val="-"/>
                <w:noProof/>
              </w:rPr>
              <w:t>backtesting</w:t>
            </w:r>
            <w:r w:rsidRPr="00CF6B9C">
              <w:rPr>
                <w:rStyle w:val="-"/>
                <w:noProof/>
                <w:lang w:val="el-GR"/>
              </w:rPr>
              <w:t xml:space="preserve"> μετά την αντιστάθμιση</w:t>
            </w:r>
            <w:r>
              <w:rPr>
                <w:noProof/>
                <w:webHidden/>
              </w:rPr>
              <w:tab/>
            </w:r>
            <w:r>
              <w:rPr>
                <w:noProof/>
                <w:webHidden/>
              </w:rPr>
              <w:fldChar w:fldCharType="begin"/>
            </w:r>
            <w:r>
              <w:rPr>
                <w:noProof/>
                <w:webHidden/>
              </w:rPr>
              <w:instrText xml:space="preserve"> PAGEREF _Toc232171093 \h </w:instrText>
            </w:r>
            <w:r>
              <w:rPr>
                <w:noProof/>
                <w:webHidden/>
              </w:rPr>
            </w:r>
            <w:r>
              <w:rPr>
                <w:noProof/>
                <w:webHidden/>
              </w:rPr>
              <w:fldChar w:fldCharType="separate"/>
            </w:r>
            <w:r w:rsidR="00ED67BB">
              <w:rPr>
                <w:noProof/>
                <w:webHidden/>
              </w:rPr>
              <w:t>35</w:t>
            </w:r>
            <w:r>
              <w:rPr>
                <w:noProof/>
                <w:webHidden/>
              </w:rPr>
              <w:fldChar w:fldCharType="end"/>
            </w:r>
          </w:hyperlink>
        </w:p>
        <w:p w14:paraId="1748312B" w14:textId="68DE822A"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94" w:history="1">
            <w:r w:rsidRPr="00CF6B9C">
              <w:rPr>
                <w:rStyle w:val="-"/>
                <w:noProof/>
                <w:lang w:val="el-GR"/>
              </w:rPr>
              <w:t>4.6 Συζήτηση αποτελεσμάτων</w:t>
            </w:r>
            <w:r>
              <w:rPr>
                <w:noProof/>
                <w:webHidden/>
              </w:rPr>
              <w:tab/>
            </w:r>
            <w:r>
              <w:rPr>
                <w:noProof/>
                <w:webHidden/>
              </w:rPr>
              <w:fldChar w:fldCharType="begin"/>
            </w:r>
            <w:r>
              <w:rPr>
                <w:noProof/>
                <w:webHidden/>
              </w:rPr>
              <w:instrText xml:space="preserve"> PAGEREF _Toc232171094 \h </w:instrText>
            </w:r>
            <w:r>
              <w:rPr>
                <w:noProof/>
                <w:webHidden/>
              </w:rPr>
            </w:r>
            <w:r>
              <w:rPr>
                <w:noProof/>
                <w:webHidden/>
              </w:rPr>
              <w:fldChar w:fldCharType="separate"/>
            </w:r>
            <w:r w:rsidR="00ED67BB">
              <w:rPr>
                <w:noProof/>
                <w:webHidden/>
              </w:rPr>
              <w:t>37</w:t>
            </w:r>
            <w:r>
              <w:rPr>
                <w:noProof/>
                <w:webHidden/>
              </w:rPr>
              <w:fldChar w:fldCharType="end"/>
            </w:r>
          </w:hyperlink>
        </w:p>
        <w:p w14:paraId="4793068D" w14:textId="6932EE90"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95" w:history="1">
            <w:r w:rsidRPr="00CF6B9C">
              <w:rPr>
                <w:rStyle w:val="-"/>
                <w:noProof/>
                <w:lang w:val="el-GR"/>
              </w:rPr>
              <w:t>4.7 Συνολική αξιολόγηση των εμπειρικών ευρημάτων</w:t>
            </w:r>
            <w:r>
              <w:rPr>
                <w:noProof/>
                <w:webHidden/>
              </w:rPr>
              <w:tab/>
            </w:r>
            <w:r>
              <w:rPr>
                <w:noProof/>
                <w:webHidden/>
              </w:rPr>
              <w:fldChar w:fldCharType="begin"/>
            </w:r>
            <w:r>
              <w:rPr>
                <w:noProof/>
                <w:webHidden/>
              </w:rPr>
              <w:instrText xml:space="preserve"> PAGEREF _Toc232171095 \h </w:instrText>
            </w:r>
            <w:r>
              <w:rPr>
                <w:noProof/>
                <w:webHidden/>
              </w:rPr>
            </w:r>
            <w:r>
              <w:rPr>
                <w:noProof/>
                <w:webHidden/>
              </w:rPr>
              <w:fldChar w:fldCharType="separate"/>
            </w:r>
            <w:r w:rsidR="00ED67BB">
              <w:rPr>
                <w:noProof/>
                <w:webHidden/>
              </w:rPr>
              <w:t>39</w:t>
            </w:r>
            <w:r>
              <w:rPr>
                <w:noProof/>
                <w:webHidden/>
              </w:rPr>
              <w:fldChar w:fldCharType="end"/>
            </w:r>
          </w:hyperlink>
        </w:p>
        <w:p w14:paraId="6E6F3772" w14:textId="5A953B91"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96" w:history="1">
            <w:r w:rsidRPr="00CF6B9C">
              <w:rPr>
                <w:rStyle w:val="-"/>
                <w:noProof/>
                <w:lang w:val="el-GR"/>
              </w:rPr>
              <w:t>4.8 Συμπεριφορά του κινδύνου σε περιόδους αυξημένης μεταβλητότητας</w:t>
            </w:r>
            <w:r>
              <w:rPr>
                <w:noProof/>
                <w:webHidden/>
              </w:rPr>
              <w:tab/>
            </w:r>
            <w:r>
              <w:rPr>
                <w:noProof/>
                <w:webHidden/>
              </w:rPr>
              <w:fldChar w:fldCharType="begin"/>
            </w:r>
            <w:r>
              <w:rPr>
                <w:noProof/>
                <w:webHidden/>
              </w:rPr>
              <w:instrText xml:space="preserve"> PAGEREF _Toc232171096 \h </w:instrText>
            </w:r>
            <w:r>
              <w:rPr>
                <w:noProof/>
                <w:webHidden/>
              </w:rPr>
            </w:r>
            <w:r>
              <w:rPr>
                <w:noProof/>
                <w:webHidden/>
              </w:rPr>
              <w:fldChar w:fldCharType="separate"/>
            </w:r>
            <w:r w:rsidR="00ED67BB">
              <w:rPr>
                <w:noProof/>
                <w:webHidden/>
              </w:rPr>
              <w:t>39</w:t>
            </w:r>
            <w:r>
              <w:rPr>
                <w:noProof/>
                <w:webHidden/>
              </w:rPr>
              <w:fldChar w:fldCharType="end"/>
            </w:r>
          </w:hyperlink>
        </w:p>
        <w:p w14:paraId="3BAF03A8" w14:textId="6C622E18" w:rsidR="000D6D82" w:rsidRDefault="000D6D82">
          <w:pPr>
            <w:pStyle w:val="14"/>
            <w:tabs>
              <w:tab w:val="right" w:leader="dot" w:pos="9112"/>
            </w:tabs>
            <w:rPr>
              <w:rFonts w:asciiTheme="minorHAnsi" w:eastAsiaTheme="minorEastAsia" w:hAnsiTheme="minorHAnsi"/>
              <w:noProof/>
              <w:kern w:val="2"/>
              <w:szCs w:val="24"/>
              <w:lang w:val="el-GR" w:eastAsia="el-GR"/>
              <w14:ligatures w14:val="standardContextual"/>
            </w:rPr>
          </w:pPr>
          <w:hyperlink w:anchor="_Toc232171097" w:history="1">
            <w:r w:rsidRPr="00CF6B9C">
              <w:rPr>
                <w:rStyle w:val="-"/>
                <w:noProof/>
                <w:lang w:val="el-GR"/>
              </w:rPr>
              <w:t>Κεφάλαιο 5: Συμπεράσματα</w:t>
            </w:r>
            <w:r>
              <w:rPr>
                <w:noProof/>
                <w:webHidden/>
              </w:rPr>
              <w:tab/>
            </w:r>
            <w:r>
              <w:rPr>
                <w:noProof/>
                <w:webHidden/>
              </w:rPr>
              <w:fldChar w:fldCharType="begin"/>
            </w:r>
            <w:r>
              <w:rPr>
                <w:noProof/>
                <w:webHidden/>
              </w:rPr>
              <w:instrText xml:space="preserve"> PAGEREF _Toc232171097 \h </w:instrText>
            </w:r>
            <w:r>
              <w:rPr>
                <w:noProof/>
                <w:webHidden/>
              </w:rPr>
            </w:r>
            <w:r>
              <w:rPr>
                <w:noProof/>
                <w:webHidden/>
              </w:rPr>
              <w:fldChar w:fldCharType="separate"/>
            </w:r>
            <w:r w:rsidR="00ED67BB">
              <w:rPr>
                <w:noProof/>
                <w:webHidden/>
              </w:rPr>
              <w:t>40</w:t>
            </w:r>
            <w:r>
              <w:rPr>
                <w:noProof/>
                <w:webHidden/>
              </w:rPr>
              <w:fldChar w:fldCharType="end"/>
            </w:r>
          </w:hyperlink>
        </w:p>
        <w:p w14:paraId="442C0598" w14:textId="49D71351"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98" w:history="1">
            <w:r w:rsidRPr="00CF6B9C">
              <w:rPr>
                <w:rStyle w:val="-"/>
                <w:noProof/>
                <w:lang w:val="el-GR"/>
              </w:rPr>
              <w:t>5.1 Σύνοψη της εργασίας</w:t>
            </w:r>
            <w:r>
              <w:rPr>
                <w:noProof/>
                <w:webHidden/>
              </w:rPr>
              <w:tab/>
            </w:r>
            <w:r>
              <w:rPr>
                <w:noProof/>
                <w:webHidden/>
              </w:rPr>
              <w:fldChar w:fldCharType="begin"/>
            </w:r>
            <w:r>
              <w:rPr>
                <w:noProof/>
                <w:webHidden/>
              </w:rPr>
              <w:instrText xml:space="preserve"> PAGEREF _Toc232171098 \h </w:instrText>
            </w:r>
            <w:r>
              <w:rPr>
                <w:noProof/>
                <w:webHidden/>
              </w:rPr>
            </w:r>
            <w:r>
              <w:rPr>
                <w:noProof/>
                <w:webHidden/>
              </w:rPr>
              <w:fldChar w:fldCharType="separate"/>
            </w:r>
            <w:r w:rsidR="00ED67BB">
              <w:rPr>
                <w:noProof/>
                <w:webHidden/>
              </w:rPr>
              <w:t>40</w:t>
            </w:r>
            <w:r>
              <w:rPr>
                <w:noProof/>
                <w:webHidden/>
              </w:rPr>
              <w:fldChar w:fldCharType="end"/>
            </w:r>
          </w:hyperlink>
        </w:p>
        <w:p w14:paraId="67DF6F95" w14:textId="1952EE3B"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099" w:history="1">
            <w:r w:rsidRPr="00CF6B9C">
              <w:rPr>
                <w:rStyle w:val="-"/>
                <w:noProof/>
                <w:lang w:val="el-GR"/>
              </w:rPr>
              <w:t>5.2 Κύρια εμπειρικά ευρήματα</w:t>
            </w:r>
            <w:r>
              <w:rPr>
                <w:noProof/>
                <w:webHidden/>
              </w:rPr>
              <w:tab/>
            </w:r>
            <w:r>
              <w:rPr>
                <w:noProof/>
                <w:webHidden/>
              </w:rPr>
              <w:fldChar w:fldCharType="begin"/>
            </w:r>
            <w:r>
              <w:rPr>
                <w:noProof/>
                <w:webHidden/>
              </w:rPr>
              <w:instrText xml:space="preserve"> PAGEREF _Toc232171099 \h </w:instrText>
            </w:r>
            <w:r>
              <w:rPr>
                <w:noProof/>
                <w:webHidden/>
              </w:rPr>
            </w:r>
            <w:r>
              <w:rPr>
                <w:noProof/>
                <w:webHidden/>
              </w:rPr>
              <w:fldChar w:fldCharType="separate"/>
            </w:r>
            <w:r w:rsidR="00ED67BB">
              <w:rPr>
                <w:noProof/>
                <w:webHidden/>
              </w:rPr>
              <w:t>41</w:t>
            </w:r>
            <w:r>
              <w:rPr>
                <w:noProof/>
                <w:webHidden/>
              </w:rPr>
              <w:fldChar w:fldCharType="end"/>
            </w:r>
          </w:hyperlink>
        </w:p>
        <w:p w14:paraId="01C89F65" w14:textId="53968DB4"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100" w:history="1">
            <w:r w:rsidRPr="00CF6B9C">
              <w:rPr>
                <w:rStyle w:val="-"/>
                <w:noProof/>
                <w:lang w:val="el-GR"/>
              </w:rPr>
              <w:t>5.3 Θεωρητική και πρακτική συμβολή</w:t>
            </w:r>
            <w:r>
              <w:rPr>
                <w:noProof/>
                <w:webHidden/>
              </w:rPr>
              <w:tab/>
            </w:r>
            <w:r>
              <w:rPr>
                <w:noProof/>
                <w:webHidden/>
              </w:rPr>
              <w:fldChar w:fldCharType="begin"/>
            </w:r>
            <w:r>
              <w:rPr>
                <w:noProof/>
                <w:webHidden/>
              </w:rPr>
              <w:instrText xml:space="preserve"> PAGEREF _Toc232171100 \h </w:instrText>
            </w:r>
            <w:r>
              <w:rPr>
                <w:noProof/>
                <w:webHidden/>
              </w:rPr>
            </w:r>
            <w:r>
              <w:rPr>
                <w:noProof/>
                <w:webHidden/>
              </w:rPr>
              <w:fldChar w:fldCharType="separate"/>
            </w:r>
            <w:r w:rsidR="00ED67BB">
              <w:rPr>
                <w:noProof/>
                <w:webHidden/>
              </w:rPr>
              <w:t>42</w:t>
            </w:r>
            <w:r>
              <w:rPr>
                <w:noProof/>
                <w:webHidden/>
              </w:rPr>
              <w:fldChar w:fldCharType="end"/>
            </w:r>
          </w:hyperlink>
        </w:p>
        <w:p w14:paraId="08978743" w14:textId="5B4FAF10"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101" w:history="1">
            <w:r w:rsidRPr="00CF6B9C">
              <w:rPr>
                <w:rStyle w:val="-"/>
                <w:noProof/>
                <w:lang w:val="el-GR"/>
              </w:rPr>
              <w:t>5.4 Περιορισμοί της εργασίας</w:t>
            </w:r>
            <w:r>
              <w:rPr>
                <w:noProof/>
                <w:webHidden/>
              </w:rPr>
              <w:tab/>
            </w:r>
            <w:r>
              <w:rPr>
                <w:noProof/>
                <w:webHidden/>
              </w:rPr>
              <w:fldChar w:fldCharType="begin"/>
            </w:r>
            <w:r>
              <w:rPr>
                <w:noProof/>
                <w:webHidden/>
              </w:rPr>
              <w:instrText xml:space="preserve"> PAGEREF _Toc232171101 \h </w:instrText>
            </w:r>
            <w:r>
              <w:rPr>
                <w:noProof/>
                <w:webHidden/>
              </w:rPr>
            </w:r>
            <w:r>
              <w:rPr>
                <w:noProof/>
                <w:webHidden/>
              </w:rPr>
              <w:fldChar w:fldCharType="separate"/>
            </w:r>
            <w:r w:rsidR="00ED67BB">
              <w:rPr>
                <w:noProof/>
                <w:webHidden/>
              </w:rPr>
              <w:t>43</w:t>
            </w:r>
            <w:r>
              <w:rPr>
                <w:noProof/>
                <w:webHidden/>
              </w:rPr>
              <w:fldChar w:fldCharType="end"/>
            </w:r>
          </w:hyperlink>
        </w:p>
        <w:p w14:paraId="382CD734" w14:textId="4B4B7124"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102" w:history="1">
            <w:r w:rsidRPr="00CF6B9C">
              <w:rPr>
                <w:rStyle w:val="-"/>
                <w:noProof/>
                <w:lang w:val="el-GR"/>
              </w:rPr>
              <w:t>5.5 Προτάσεις για μελλοντική έρευνα</w:t>
            </w:r>
            <w:r>
              <w:rPr>
                <w:noProof/>
                <w:webHidden/>
              </w:rPr>
              <w:tab/>
            </w:r>
            <w:r>
              <w:rPr>
                <w:noProof/>
                <w:webHidden/>
              </w:rPr>
              <w:fldChar w:fldCharType="begin"/>
            </w:r>
            <w:r>
              <w:rPr>
                <w:noProof/>
                <w:webHidden/>
              </w:rPr>
              <w:instrText xml:space="preserve"> PAGEREF _Toc232171102 \h </w:instrText>
            </w:r>
            <w:r>
              <w:rPr>
                <w:noProof/>
                <w:webHidden/>
              </w:rPr>
            </w:r>
            <w:r>
              <w:rPr>
                <w:noProof/>
                <w:webHidden/>
              </w:rPr>
              <w:fldChar w:fldCharType="separate"/>
            </w:r>
            <w:r w:rsidR="00ED67BB">
              <w:rPr>
                <w:noProof/>
                <w:webHidden/>
              </w:rPr>
              <w:t>43</w:t>
            </w:r>
            <w:r>
              <w:rPr>
                <w:noProof/>
                <w:webHidden/>
              </w:rPr>
              <w:fldChar w:fldCharType="end"/>
            </w:r>
          </w:hyperlink>
        </w:p>
        <w:p w14:paraId="2B48C9C3" w14:textId="43F57BD4"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103" w:history="1">
            <w:r w:rsidRPr="00CF6B9C">
              <w:rPr>
                <w:rStyle w:val="-"/>
                <w:noProof/>
                <w:lang w:val="el-GR"/>
              </w:rPr>
              <w:t>5.6 Τελικό συμπέρασμα</w:t>
            </w:r>
            <w:r>
              <w:rPr>
                <w:noProof/>
                <w:webHidden/>
              </w:rPr>
              <w:tab/>
            </w:r>
            <w:r>
              <w:rPr>
                <w:noProof/>
                <w:webHidden/>
              </w:rPr>
              <w:fldChar w:fldCharType="begin"/>
            </w:r>
            <w:r>
              <w:rPr>
                <w:noProof/>
                <w:webHidden/>
              </w:rPr>
              <w:instrText xml:space="preserve"> PAGEREF _Toc232171103 \h </w:instrText>
            </w:r>
            <w:r>
              <w:rPr>
                <w:noProof/>
                <w:webHidden/>
              </w:rPr>
            </w:r>
            <w:r>
              <w:rPr>
                <w:noProof/>
                <w:webHidden/>
              </w:rPr>
              <w:fldChar w:fldCharType="separate"/>
            </w:r>
            <w:r w:rsidR="00ED67BB">
              <w:rPr>
                <w:noProof/>
                <w:webHidden/>
              </w:rPr>
              <w:t>44</w:t>
            </w:r>
            <w:r>
              <w:rPr>
                <w:noProof/>
                <w:webHidden/>
              </w:rPr>
              <w:fldChar w:fldCharType="end"/>
            </w:r>
          </w:hyperlink>
        </w:p>
        <w:p w14:paraId="22710D44" w14:textId="78D3602A" w:rsidR="000D6D82" w:rsidRDefault="000D6D82">
          <w:pPr>
            <w:pStyle w:val="29"/>
            <w:tabs>
              <w:tab w:val="right" w:leader="dot" w:pos="9112"/>
            </w:tabs>
            <w:rPr>
              <w:rFonts w:asciiTheme="minorHAnsi" w:eastAsiaTheme="minorEastAsia" w:hAnsiTheme="minorHAnsi"/>
              <w:noProof/>
              <w:kern w:val="2"/>
              <w:szCs w:val="24"/>
              <w:lang w:val="el-GR" w:eastAsia="el-GR"/>
              <w14:ligatures w14:val="standardContextual"/>
            </w:rPr>
          </w:pPr>
          <w:hyperlink w:anchor="_Toc232171104" w:history="1">
            <w:r w:rsidRPr="00CF6B9C">
              <w:rPr>
                <w:rStyle w:val="-"/>
                <w:noProof/>
                <w:lang w:val="el-GR"/>
              </w:rPr>
              <w:t>5.7 Τελική σύνδεση θεωρίας, μεθοδολογίας και αποτελεσμάτων</w:t>
            </w:r>
            <w:r>
              <w:rPr>
                <w:noProof/>
                <w:webHidden/>
              </w:rPr>
              <w:tab/>
            </w:r>
            <w:r>
              <w:rPr>
                <w:noProof/>
                <w:webHidden/>
              </w:rPr>
              <w:fldChar w:fldCharType="begin"/>
            </w:r>
            <w:r>
              <w:rPr>
                <w:noProof/>
                <w:webHidden/>
              </w:rPr>
              <w:instrText xml:space="preserve"> PAGEREF _Toc232171104 \h </w:instrText>
            </w:r>
            <w:r>
              <w:rPr>
                <w:noProof/>
                <w:webHidden/>
              </w:rPr>
            </w:r>
            <w:r>
              <w:rPr>
                <w:noProof/>
                <w:webHidden/>
              </w:rPr>
              <w:fldChar w:fldCharType="separate"/>
            </w:r>
            <w:r w:rsidR="00ED67BB">
              <w:rPr>
                <w:noProof/>
                <w:webHidden/>
              </w:rPr>
              <w:t>44</w:t>
            </w:r>
            <w:r>
              <w:rPr>
                <w:noProof/>
                <w:webHidden/>
              </w:rPr>
              <w:fldChar w:fldCharType="end"/>
            </w:r>
          </w:hyperlink>
        </w:p>
        <w:p w14:paraId="5B60384D" w14:textId="6616B1DB" w:rsidR="009E70CD" w:rsidRDefault="009E70CD">
          <w:r>
            <w:rPr>
              <w:b/>
              <w:bCs/>
            </w:rPr>
            <w:fldChar w:fldCharType="end"/>
          </w:r>
        </w:p>
      </w:sdtContent>
    </w:sdt>
    <w:p w14:paraId="3ABE3B13" w14:textId="30185501" w:rsidR="006F52EF" w:rsidRDefault="006F52EF" w:rsidP="009E70CD">
      <w:pPr>
        <w:pStyle w:val="13"/>
        <w:spacing w:after="120"/>
        <w:jc w:val="left"/>
        <w:rPr>
          <w:lang w:val="el-GR"/>
        </w:rPr>
      </w:pPr>
    </w:p>
    <w:p w14:paraId="5EDD5EAA" w14:textId="77777777" w:rsidR="00613771" w:rsidRDefault="00613771" w:rsidP="00613771">
      <w:pPr>
        <w:rPr>
          <w:lang w:val="el-GR"/>
        </w:rPr>
      </w:pPr>
    </w:p>
    <w:p w14:paraId="35546BB8" w14:textId="77777777" w:rsidR="00613771" w:rsidRDefault="00613771" w:rsidP="00613771">
      <w:pPr>
        <w:rPr>
          <w:lang w:val="el-GR"/>
        </w:rPr>
      </w:pPr>
    </w:p>
    <w:p w14:paraId="7F8FD0F8" w14:textId="77777777" w:rsidR="00613771" w:rsidRDefault="00613771" w:rsidP="00613771">
      <w:pPr>
        <w:rPr>
          <w:lang w:val="el-GR"/>
        </w:rPr>
      </w:pPr>
    </w:p>
    <w:p w14:paraId="70953A79" w14:textId="77777777" w:rsidR="00613771" w:rsidRPr="00613771" w:rsidRDefault="00613771" w:rsidP="00613771">
      <w:pPr>
        <w:rPr>
          <w:lang w:val="el-GR"/>
        </w:rPr>
      </w:pPr>
    </w:p>
    <w:p w14:paraId="2EED1C33" w14:textId="77777777" w:rsidR="006F52EF" w:rsidRPr="00FC097F" w:rsidRDefault="006F52EF" w:rsidP="006F52EF">
      <w:pPr>
        <w:pStyle w:val="13"/>
        <w:jc w:val="left"/>
        <w:rPr>
          <w:lang w:val="el-GR"/>
        </w:rPr>
      </w:pPr>
      <w:r w:rsidRPr="00FC097F">
        <w:rPr>
          <w:rFonts w:ascii="Times New Roman" w:eastAsia="Times New Roman" w:hAnsi="Times New Roman"/>
          <w:lang w:val="el-GR"/>
        </w:rPr>
        <w:lastRenderedPageBreak/>
        <w:t>Κατάλογος Διαγραμμάτων</w:t>
      </w:r>
    </w:p>
    <w:p w14:paraId="595F9144" w14:textId="628EA808" w:rsidR="006F52EF" w:rsidRPr="00FC097F" w:rsidRDefault="006F52EF" w:rsidP="006F52EF">
      <w:pPr>
        <w:pStyle w:val="af"/>
        <w:tabs>
          <w:tab w:val="right" w:leader="dot" w:pos="8504"/>
        </w:tabs>
        <w:jc w:val="left"/>
        <w:rPr>
          <w:lang w:val="el-GR"/>
        </w:rPr>
      </w:pPr>
      <w:r w:rsidRPr="00FC097F">
        <w:rPr>
          <w:lang w:val="el-GR"/>
        </w:rPr>
        <w:t>Διάγραμμα 4.1: Σωρευτική απόδοση αρχικού και αντισταθμισμένου χαρτοφυλακίου</w:t>
      </w:r>
      <w:r w:rsidRPr="00FC097F">
        <w:rPr>
          <w:lang w:val="el-GR"/>
        </w:rPr>
        <w:tab/>
      </w:r>
      <w:r w:rsidR="002F2923">
        <w:rPr>
          <w:lang w:val="el-GR"/>
        </w:rPr>
        <w:t>27</w:t>
      </w:r>
    </w:p>
    <w:p w14:paraId="4254B525" w14:textId="3132EACC" w:rsidR="006F52EF" w:rsidRPr="00FC097F" w:rsidRDefault="006F52EF" w:rsidP="006F52EF">
      <w:pPr>
        <w:pStyle w:val="af"/>
        <w:tabs>
          <w:tab w:val="right" w:leader="dot" w:pos="8504"/>
        </w:tabs>
        <w:jc w:val="left"/>
        <w:rPr>
          <w:lang w:val="el-GR"/>
        </w:rPr>
      </w:pPr>
      <w:r w:rsidRPr="00FC097F">
        <w:rPr>
          <w:lang w:val="el-GR"/>
        </w:rPr>
        <w:t xml:space="preserve">Διάγραμμα 4.2: Ημερήσιες αποδόσεις και όρια </w:t>
      </w:r>
      <w:proofErr w:type="spellStart"/>
      <w:r>
        <w:t>VaR</w:t>
      </w:r>
      <w:proofErr w:type="spellEnd"/>
      <w:r w:rsidRPr="00FC097F">
        <w:rPr>
          <w:lang w:val="el-GR"/>
        </w:rPr>
        <w:t xml:space="preserve"> 99% του αρχικού χαρτοφυλακίου</w:t>
      </w:r>
      <w:r w:rsidRPr="00FC097F">
        <w:rPr>
          <w:lang w:val="el-GR"/>
        </w:rPr>
        <w:tab/>
      </w:r>
      <w:r w:rsidR="002F2923">
        <w:rPr>
          <w:lang w:val="el-GR"/>
        </w:rPr>
        <w:t>29</w:t>
      </w:r>
    </w:p>
    <w:p w14:paraId="46B6254E" w14:textId="4D9E7992" w:rsidR="006F52EF" w:rsidRPr="00FC097F" w:rsidRDefault="006F52EF" w:rsidP="006F52EF">
      <w:pPr>
        <w:pStyle w:val="af"/>
        <w:tabs>
          <w:tab w:val="right" w:leader="dot" w:pos="8504"/>
        </w:tabs>
        <w:jc w:val="left"/>
        <w:rPr>
          <w:lang w:val="el-GR"/>
        </w:rPr>
      </w:pPr>
      <w:r w:rsidRPr="00FC097F">
        <w:rPr>
          <w:lang w:val="el-GR"/>
        </w:rPr>
        <w:t xml:space="preserve">Διάγραμμα 4.3: Πραγματικές εξαιρέσεις </w:t>
      </w:r>
      <w:proofErr w:type="spellStart"/>
      <w:r>
        <w:t>backtesting</w:t>
      </w:r>
      <w:proofErr w:type="spellEnd"/>
      <w:r w:rsidRPr="00FC097F">
        <w:rPr>
          <w:lang w:val="el-GR"/>
        </w:rPr>
        <w:t xml:space="preserve"> πριν και μετά την αντιστάθμιση</w:t>
      </w:r>
      <w:r w:rsidRPr="00FC097F">
        <w:rPr>
          <w:lang w:val="el-GR"/>
        </w:rPr>
        <w:tab/>
      </w:r>
      <w:r w:rsidR="0013030A">
        <w:rPr>
          <w:lang w:val="el-GR"/>
        </w:rPr>
        <w:t>31</w:t>
      </w:r>
    </w:p>
    <w:p w14:paraId="54C20B82" w14:textId="48D3E27D" w:rsidR="006F52EF" w:rsidRPr="00FC097F" w:rsidRDefault="006F52EF" w:rsidP="006F52EF">
      <w:pPr>
        <w:pStyle w:val="af"/>
        <w:tabs>
          <w:tab w:val="right" w:leader="dot" w:pos="8504"/>
        </w:tabs>
        <w:jc w:val="left"/>
        <w:rPr>
          <w:lang w:val="el-GR"/>
        </w:rPr>
      </w:pPr>
      <w:r w:rsidRPr="00FC097F">
        <w:rPr>
          <w:lang w:val="el-GR"/>
        </w:rPr>
        <w:t>Διάγραμμα 4.4: Εξέλιξη του δυναμικού λόγου αντιστάθμισης</w:t>
      </w:r>
      <w:r w:rsidRPr="00FC097F">
        <w:rPr>
          <w:lang w:val="el-GR"/>
        </w:rPr>
        <w:tab/>
      </w:r>
      <w:r w:rsidR="0013030A">
        <w:rPr>
          <w:lang w:val="el-GR"/>
        </w:rPr>
        <w:t>34</w:t>
      </w:r>
    </w:p>
    <w:p w14:paraId="334062D4" w14:textId="065AF80F" w:rsidR="006F52EF" w:rsidRPr="00FC097F" w:rsidRDefault="006F52EF" w:rsidP="006F52EF">
      <w:pPr>
        <w:pStyle w:val="af"/>
        <w:tabs>
          <w:tab w:val="right" w:leader="dot" w:pos="8504"/>
        </w:tabs>
        <w:jc w:val="left"/>
        <w:rPr>
          <w:lang w:val="el-GR"/>
        </w:rPr>
      </w:pPr>
      <w:r w:rsidRPr="00FC097F">
        <w:rPr>
          <w:lang w:val="el-GR"/>
        </w:rPr>
        <w:t xml:space="preserve">Διάγραμμα 4.5: Μέση ημερήσια </w:t>
      </w:r>
      <w:proofErr w:type="spellStart"/>
      <w:r>
        <w:t>VaR</w:t>
      </w:r>
      <w:proofErr w:type="spellEnd"/>
      <w:r w:rsidRPr="00FC097F">
        <w:rPr>
          <w:lang w:val="el-GR"/>
        </w:rPr>
        <w:t xml:space="preserve"> πριν και μετά την αντιστάθμιση</w:t>
      </w:r>
      <w:r w:rsidRPr="00FC097F">
        <w:rPr>
          <w:lang w:val="el-GR"/>
        </w:rPr>
        <w:tab/>
      </w:r>
      <w:r w:rsidR="0013030A">
        <w:rPr>
          <w:lang w:val="el-GR"/>
        </w:rPr>
        <w:t>36</w:t>
      </w:r>
    </w:p>
    <w:p w14:paraId="481C285F" w14:textId="77777777" w:rsidR="006F52EF" w:rsidRPr="00FC097F" w:rsidRDefault="006F52EF" w:rsidP="006F52EF">
      <w:pPr>
        <w:jc w:val="left"/>
        <w:rPr>
          <w:lang w:val="el-GR"/>
        </w:rPr>
      </w:pPr>
      <w:r w:rsidRPr="00FC097F">
        <w:rPr>
          <w:lang w:val="el-GR"/>
        </w:rPr>
        <w:br w:type="page"/>
      </w:r>
    </w:p>
    <w:p w14:paraId="7B4597AE" w14:textId="77777777" w:rsidR="006F52EF" w:rsidRPr="00FC097F" w:rsidRDefault="006F52EF" w:rsidP="006F52EF">
      <w:pPr>
        <w:pStyle w:val="13"/>
        <w:jc w:val="left"/>
        <w:rPr>
          <w:lang w:val="el-GR"/>
        </w:rPr>
      </w:pPr>
      <w:r w:rsidRPr="00FC097F">
        <w:rPr>
          <w:rFonts w:ascii="Times New Roman" w:eastAsia="Times New Roman" w:hAnsi="Times New Roman"/>
          <w:lang w:val="el-GR"/>
        </w:rPr>
        <w:lastRenderedPageBreak/>
        <w:t>Κατάλογος Πινάκων</w:t>
      </w:r>
    </w:p>
    <w:p w14:paraId="37D8DFE1" w14:textId="2184A874" w:rsidR="006F52EF" w:rsidRPr="00FC097F" w:rsidRDefault="006F52EF" w:rsidP="006F52EF">
      <w:pPr>
        <w:pStyle w:val="af"/>
        <w:tabs>
          <w:tab w:val="right" w:leader="dot" w:pos="8504"/>
        </w:tabs>
        <w:jc w:val="left"/>
        <w:rPr>
          <w:lang w:val="el-GR"/>
        </w:rPr>
      </w:pPr>
      <w:r w:rsidRPr="00FC097F">
        <w:rPr>
          <w:lang w:val="el-GR"/>
        </w:rPr>
        <w:t>Πίνακας 4.1: Περιγραφική στατιστική ημερήσιων αποδόσεων</w:t>
      </w:r>
      <w:r w:rsidRPr="00FC097F">
        <w:rPr>
          <w:lang w:val="el-GR"/>
        </w:rPr>
        <w:tab/>
      </w:r>
      <w:r w:rsidR="002F2923">
        <w:rPr>
          <w:lang w:val="el-GR"/>
        </w:rPr>
        <w:t>27</w:t>
      </w:r>
    </w:p>
    <w:p w14:paraId="16118359" w14:textId="6A486FD5" w:rsidR="006F52EF" w:rsidRPr="00FC097F" w:rsidRDefault="006F52EF" w:rsidP="006F52EF">
      <w:pPr>
        <w:pStyle w:val="af"/>
        <w:tabs>
          <w:tab w:val="right" w:leader="dot" w:pos="8504"/>
        </w:tabs>
        <w:jc w:val="left"/>
        <w:rPr>
          <w:lang w:val="el-GR"/>
        </w:rPr>
      </w:pPr>
      <w:r w:rsidRPr="00FC097F">
        <w:rPr>
          <w:lang w:val="el-GR"/>
        </w:rPr>
        <w:t xml:space="preserve">Πίνακας 4.2: Ημερήσιες εκτιμήσεις </w:t>
      </w:r>
      <w:proofErr w:type="spellStart"/>
      <w:r>
        <w:t>VaR</w:t>
      </w:r>
      <w:proofErr w:type="spellEnd"/>
      <w:r w:rsidRPr="00FC097F">
        <w:rPr>
          <w:lang w:val="el-GR"/>
        </w:rPr>
        <w:t xml:space="preserve"> αρχικού χαρτοφυλακίου</w:t>
      </w:r>
      <w:r w:rsidRPr="00FC097F">
        <w:rPr>
          <w:lang w:val="el-GR"/>
        </w:rPr>
        <w:tab/>
      </w:r>
      <w:r w:rsidR="002F2923">
        <w:rPr>
          <w:lang w:val="el-GR"/>
        </w:rPr>
        <w:t>29</w:t>
      </w:r>
    </w:p>
    <w:p w14:paraId="38E8A12F" w14:textId="2DBA87BC" w:rsidR="006F52EF" w:rsidRPr="00FC097F" w:rsidRDefault="006F52EF" w:rsidP="006F52EF">
      <w:pPr>
        <w:pStyle w:val="af"/>
        <w:tabs>
          <w:tab w:val="right" w:leader="dot" w:pos="8504"/>
        </w:tabs>
        <w:jc w:val="left"/>
        <w:rPr>
          <w:lang w:val="el-GR"/>
        </w:rPr>
      </w:pPr>
      <w:r w:rsidRPr="00FC097F">
        <w:rPr>
          <w:lang w:val="el-GR"/>
        </w:rPr>
        <w:t xml:space="preserve">Πίνακας 4.3: Μέσο δεκαήμερο </w:t>
      </w:r>
      <w:proofErr w:type="spellStart"/>
      <w:r>
        <w:t>VaR</w:t>
      </w:r>
      <w:proofErr w:type="spellEnd"/>
      <w:r w:rsidRPr="00FC097F">
        <w:rPr>
          <w:lang w:val="el-GR"/>
        </w:rPr>
        <w:t xml:space="preserve"> αρχικού χαρτοφυλακίου</w:t>
      </w:r>
      <w:r w:rsidRPr="00FC097F">
        <w:rPr>
          <w:lang w:val="el-GR"/>
        </w:rPr>
        <w:tab/>
      </w:r>
      <w:r w:rsidR="002F2923">
        <w:rPr>
          <w:lang w:val="el-GR"/>
        </w:rPr>
        <w:t>30</w:t>
      </w:r>
    </w:p>
    <w:p w14:paraId="4F7C5639" w14:textId="29D2AE22" w:rsidR="006F52EF" w:rsidRPr="00FC097F" w:rsidRDefault="006F52EF" w:rsidP="006F52EF">
      <w:pPr>
        <w:pStyle w:val="af"/>
        <w:tabs>
          <w:tab w:val="right" w:leader="dot" w:pos="8504"/>
        </w:tabs>
        <w:jc w:val="left"/>
        <w:rPr>
          <w:lang w:val="el-GR"/>
        </w:rPr>
      </w:pPr>
      <w:r w:rsidRPr="00FC097F">
        <w:rPr>
          <w:lang w:val="el-GR"/>
        </w:rPr>
        <w:t xml:space="preserve">Πίνακας 4.4: </w:t>
      </w:r>
      <w:proofErr w:type="spellStart"/>
      <w:r>
        <w:t>Backtesting</w:t>
      </w:r>
      <w:proofErr w:type="spellEnd"/>
      <w:r w:rsidRPr="00FC097F">
        <w:rPr>
          <w:lang w:val="el-GR"/>
        </w:rPr>
        <w:t xml:space="preserve"> αρχικού χαρτοφυλακίου</w:t>
      </w:r>
      <w:r w:rsidRPr="00FC097F">
        <w:rPr>
          <w:lang w:val="el-GR"/>
        </w:rPr>
        <w:tab/>
      </w:r>
      <w:r w:rsidR="002F2923">
        <w:rPr>
          <w:lang w:val="el-GR"/>
        </w:rPr>
        <w:t>31</w:t>
      </w:r>
    </w:p>
    <w:p w14:paraId="7004B3DA" w14:textId="5C8B3B81" w:rsidR="006F52EF" w:rsidRPr="00FC097F" w:rsidRDefault="006F52EF" w:rsidP="006F52EF">
      <w:pPr>
        <w:pStyle w:val="af"/>
        <w:tabs>
          <w:tab w:val="right" w:leader="dot" w:pos="8504"/>
        </w:tabs>
        <w:jc w:val="left"/>
        <w:rPr>
          <w:lang w:val="el-GR"/>
        </w:rPr>
      </w:pPr>
      <w:r w:rsidRPr="00FC097F">
        <w:rPr>
          <w:lang w:val="el-GR"/>
        </w:rPr>
        <w:t>Πίνακας 4.5: Σύγκριση αρχικού και αντισταθμισμένου χαρτοφυλακίου</w:t>
      </w:r>
      <w:r w:rsidRPr="00FC097F">
        <w:rPr>
          <w:lang w:val="el-GR"/>
        </w:rPr>
        <w:tab/>
      </w:r>
      <w:r w:rsidR="002F2923">
        <w:rPr>
          <w:lang w:val="el-GR"/>
        </w:rPr>
        <w:t>34</w:t>
      </w:r>
    </w:p>
    <w:p w14:paraId="7F74A8A7" w14:textId="2EFBE190" w:rsidR="006F52EF" w:rsidRPr="00FC097F" w:rsidRDefault="006F52EF" w:rsidP="006F52EF">
      <w:pPr>
        <w:pStyle w:val="af"/>
        <w:tabs>
          <w:tab w:val="right" w:leader="dot" w:pos="8504"/>
        </w:tabs>
        <w:jc w:val="left"/>
        <w:rPr>
          <w:lang w:val="el-GR"/>
        </w:rPr>
      </w:pPr>
      <w:r w:rsidRPr="00FC097F">
        <w:rPr>
          <w:lang w:val="el-GR"/>
        </w:rPr>
        <w:t xml:space="preserve">Πίνακας 4.6: Σύγκριση μέσης ημερήσιας </w:t>
      </w:r>
      <w:proofErr w:type="spellStart"/>
      <w:r>
        <w:t>VaR</w:t>
      </w:r>
      <w:proofErr w:type="spellEnd"/>
      <w:r w:rsidRPr="00FC097F">
        <w:rPr>
          <w:lang w:val="el-GR"/>
        </w:rPr>
        <w:t xml:space="preserve"> πριν και μετά την αντιστάθμιση</w:t>
      </w:r>
      <w:r w:rsidRPr="00FC097F">
        <w:rPr>
          <w:lang w:val="el-GR"/>
        </w:rPr>
        <w:tab/>
      </w:r>
      <w:r w:rsidR="002F2923">
        <w:rPr>
          <w:lang w:val="el-GR"/>
        </w:rPr>
        <w:t>35</w:t>
      </w:r>
    </w:p>
    <w:p w14:paraId="3977159D" w14:textId="7340474E" w:rsidR="006F52EF" w:rsidRPr="00FC097F" w:rsidRDefault="006F52EF" w:rsidP="006F52EF">
      <w:pPr>
        <w:pStyle w:val="af"/>
        <w:tabs>
          <w:tab w:val="right" w:leader="dot" w:pos="8504"/>
        </w:tabs>
        <w:jc w:val="left"/>
        <w:rPr>
          <w:lang w:val="el-GR"/>
        </w:rPr>
      </w:pPr>
      <w:r w:rsidRPr="00FC097F">
        <w:rPr>
          <w:lang w:val="el-GR"/>
        </w:rPr>
        <w:t xml:space="preserve">Πίνακας 4.7: </w:t>
      </w:r>
      <w:proofErr w:type="spellStart"/>
      <w:r>
        <w:t>Backtesting</w:t>
      </w:r>
      <w:proofErr w:type="spellEnd"/>
      <w:r w:rsidRPr="00FC097F">
        <w:rPr>
          <w:lang w:val="el-GR"/>
        </w:rPr>
        <w:t xml:space="preserve"> αντισταθμισμένου χαρτοφυλακίου</w:t>
      </w:r>
      <w:r w:rsidRPr="00FC097F">
        <w:rPr>
          <w:lang w:val="el-GR"/>
        </w:rPr>
        <w:tab/>
      </w:r>
      <w:r w:rsidR="002F2923">
        <w:rPr>
          <w:lang w:val="el-GR"/>
        </w:rPr>
        <w:t>36</w:t>
      </w:r>
    </w:p>
    <w:p w14:paraId="2885071F" w14:textId="77777777" w:rsidR="006F52EF" w:rsidRPr="00FC097F" w:rsidRDefault="006F52EF" w:rsidP="006F52EF">
      <w:pPr>
        <w:jc w:val="left"/>
        <w:rPr>
          <w:lang w:val="el-GR"/>
        </w:rPr>
      </w:pPr>
      <w:r w:rsidRPr="00FC097F">
        <w:rPr>
          <w:lang w:val="el-GR"/>
        </w:rPr>
        <w:br w:type="page"/>
      </w:r>
    </w:p>
    <w:p w14:paraId="126EF6FF" w14:textId="77777777" w:rsidR="006F52EF" w:rsidRPr="00FC097F" w:rsidRDefault="006F52EF" w:rsidP="006F52EF">
      <w:pPr>
        <w:pStyle w:val="13"/>
        <w:jc w:val="left"/>
        <w:rPr>
          <w:lang w:val="el-GR"/>
        </w:rPr>
      </w:pPr>
      <w:r w:rsidRPr="00FC097F">
        <w:rPr>
          <w:rFonts w:ascii="Times New Roman" w:eastAsia="Times New Roman" w:hAnsi="Times New Roman"/>
          <w:lang w:val="el-GR"/>
        </w:rPr>
        <w:lastRenderedPageBreak/>
        <w:t>Πίνακας Συντομογραφιών</w:t>
      </w:r>
    </w:p>
    <w:p w14:paraId="46065A18" w14:textId="77777777" w:rsidR="006F52EF" w:rsidRDefault="006F52EF" w:rsidP="006F52EF">
      <w:pPr>
        <w:pStyle w:val="af"/>
        <w:jc w:val="left"/>
      </w:pPr>
      <w:r>
        <w:t>BCBS: Basel Committee on Banking Supervision</w:t>
      </w:r>
    </w:p>
    <w:p w14:paraId="7CBB332A" w14:textId="77777777" w:rsidR="006F52EF" w:rsidRDefault="006F52EF" w:rsidP="006F52EF">
      <w:pPr>
        <w:pStyle w:val="af"/>
        <w:jc w:val="left"/>
      </w:pPr>
      <w:r>
        <w:t>CRR/CRD: Capital Requirements Regulation / Capital Requirements Directive</w:t>
      </w:r>
    </w:p>
    <w:p w14:paraId="34A6DA67" w14:textId="77777777" w:rsidR="006F52EF" w:rsidRDefault="006F52EF" w:rsidP="006F52EF">
      <w:pPr>
        <w:pStyle w:val="af"/>
        <w:jc w:val="left"/>
      </w:pPr>
      <w:r>
        <w:t>ES: E-</w:t>
      </w:r>
      <w:proofErr w:type="gramStart"/>
      <w:r>
        <w:t>mini S</w:t>
      </w:r>
      <w:proofErr w:type="gramEnd"/>
      <w:r>
        <w:t>&amp;P 500 Futures</w:t>
      </w:r>
    </w:p>
    <w:p w14:paraId="00157CE9" w14:textId="77777777" w:rsidR="006F52EF" w:rsidRDefault="006F52EF" w:rsidP="006F52EF">
      <w:pPr>
        <w:pStyle w:val="af"/>
        <w:jc w:val="left"/>
      </w:pPr>
      <w:r>
        <w:t>EWMA: Exponentially Weighted Moving Average</w:t>
      </w:r>
    </w:p>
    <w:p w14:paraId="5365A1CD" w14:textId="77777777" w:rsidR="006F52EF" w:rsidRDefault="006F52EF" w:rsidP="006F52EF">
      <w:pPr>
        <w:pStyle w:val="af"/>
        <w:jc w:val="left"/>
      </w:pPr>
      <w:r>
        <w:t>LTCM: Long-Term Capital Management</w:t>
      </w:r>
    </w:p>
    <w:p w14:paraId="7CFD2749" w14:textId="77777777" w:rsidR="006F52EF" w:rsidRDefault="006F52EF" w:rsidP="006F52EF">
      <w:pPr>
        <w:pStyle w:val="af"/>
        <w:jc w:val="left"/>
      </w:pPr>
      <w:r>
        <w:t>S&amp;P 500: Standard &amp; Poor’s 500 Index</w:t>
      </w:r>
    </w:p>
    <w:p w14:paraId="16D925FD" w14:textId="77777777" w:rsidR="006F52EF" w:rsidRDefault="006F52EF" w:rsidP="006F52EF">
      <w:pPr>
        <w:pStyle w:val="af"/>
        <w:jc w:val="left"/>
      </w:pPr>
      <w:proofErr w:type="spellStart"/>
      <w:r>
        <w:t>VaR</w:t>
      </w:r>
      <w:proofErr w:type="spellEnd"/>
      <w:r>
        <w:t>: Value at Risk</w:t>
      </w:r>
    </w:p>
    <w:p w14:paraId="335B4CEC" w14:textId="2393282A" w:rsidR="00FC097F" w:rsidRPr="006B4277" w:rsidRDefault="00FC097F" w:rsidP="00FC097F">
      <w:pPr>
        <w:jc w:val="left"/>
      </w:pPr>
    </w:p>
    <w:p w14:paraId="6BB49EA8" w14:textId="77777777" w:rsidR="003F49FE" w:rsidRPr="006B4277" w:rsidRDefault="003F49FE" w:rsidP="00FC097F">
      <w:pPr>
        <w:jc w:val="left"/>
      </w:pPr>
    </w:p>
    <w:p w14:paraId="6C468B7E" w14:textId="77777777" w:rsidR="003F49FE" w:rsidRPr="006B4277" w:rsidRDefault="003F49FE" w:rsidP="00FC097F">
      <w:pPr>
        <w:jc w:val="left"/>
      </w:pPr>
    </w:p>
    <w:p w14:paraId="7BB9A4D0" w14:textId="77777777" w:rsidR="003F49FE" w:rsidRPr="006B4277" w:rsidRDefault="003F49FE" w:rsidP="00FC097F">
      <w:pPr>
        <w:jc w:val="left"/>
      </w:pPr>
    </w:p>
    <w:p w14:paraId="14A1D43B" w14:textId="77777777" w:rsidR="003F49FE" w:rsidRPr="006B4277" w:rsidRDefault="003F49FE" w:rsidP="00FC097F">
      <w:pPr>
        <w:jc w:val="left"/>
      </w:pPr>
    </w:p>
    <w:p w14:paraId="7DA4EBB8" w14:textId="77777777" w:rsidR="003F49FE" w:rsidRPr="006B4277" w:rsidRDefault="003F49FE" w:rsidP="00FC097F">
      <w:pPr>
        <w:jc w:val="left"/>
      </w:pPr>
    </w:p>
    <w:p w14:paraId="38C8087E" w14:textId="77777777" w:rsidR="003F49FE" w:rsidRPr="006B4277" w:rsidRDefault="003F49FE" w:rsidP="00FC097F">
      <w:pPr>
        <w:jc w:val="left"/>
      </w:pPr>
    </w:p>
    <w:p w14:paraId="661BB2F0" w14:textId="77777777" w:rsidR="003F49FE" w:rsidRPr="006B4277" w:rsidRDefault="003F49FE" w:rsidP="00FC097F">
      <w:pPr>
        <w:jc w:val="left"/>
      </w:pPr>
    </w:p>
    <w:p w14:paraId="2ADB2078" w14:textId="77777777" w:rsidR="003F49FE" w:rsidRPr="006B4277" w:rsidRDefault="003F49FE" w:rsidP="00FC097F">
      <w:pPr>
        <w:jc w:val="left"/>
      </w:pPr>
    </w:p>
    <w:p w14:paraId="549280E5" w14:textId="77777777" w:rsidR="003F49FE" w:rsidRPr="006B4277" w:rsidRDefault="003F49FE" w:rsidP="00FC097F">
      <w:pPr>
        <w:jc w:val="left"/>
      </w:pPr>
    </w:p>
    <w:p w14:paraId="0A5B6C1E" w14:textId="77777777" w:rsidR="003F49FE" w:rsidRPr="006B4277" w:rsidRDefault="003F49FE" w:rsidP="00FC097F">
      <w:pPr>
        <w:jc w:val="left"/>
      </w:pPr>
    </w:p>
    <w:p w14:paraId="32BD2560" w14:textId="77777777" w:rsidR="003F49FE" w:rsidRPr="006B4277" w:rsidRDefault="003F49FE" w:rsidP="00FC097F">
      <w:pPr>
        <w:jc w:val="left"/>
      </w:pPr>
    </w:p>
    <w:p w14:paraId="1307AB55" w14:textId="77777777" w:rsidR="003F49FE" w:rsidRPr="006B4277" w:rsidRDefault="003F49FE" w:rsidP="00FC097F">
      <w:pPr>
        <w:jc w:val="left"/>
      </w:pPr>
    </w:p>
    <w:p w14:paraId="67C6B88A" w14:textId="77777777" w:rsidR="003F49FE" w:rsidRPr="006B4277" w:rsidRDefault="003F49FE" w:rsidP="00FC097F">
      <w:pPr>
        <w:jc w:val="left"/>
      </w:pPr>
    </w:p>
    <w:p w14:paraId="6EC36604" w14:textId="77777777" w:rsidR="003F49FE" w:rsidRPr="006B4277" w:rsidRDefault="003F49FE" w:rsidP="00FC097F">
      <w:pPr>
        <w:jc w:val="left"/>
      </w:pPr>
    </w:p>
    <w:p w14:paraId="50A2CDCE" w14:textId="77777777" w:rsidR="00FC097F" w:rsidRPr="00FC097F" w:rsidRDefault="00FC097F" w:rsidP="00FC097F">
      <w:pPr>
        <w:pStyle w:val="13"/>
        <w:jc w:val="left"/>
        <w:rPr>
          <w:lang w:val="el-GR"/>
        </w:rPr>
      </w:pPr>
      <w:r w:rsidRPr="00FC097F">
        <w:rPr>
          <w:rFonts w:ascii="Times New Roman" w:eastAsia="Times New Roman" w:hAnsi="Times New Roman"/>
          <w:lang w:val="el-GR"/>
        </w:rPr>
        <w:lastRenderedPageBreak/>
        <w:t>Σελίδα Εγκυρότητας</w:t>
      </w:r>
    </w:p>
    <w:p w14:paraId="10BE2A09" w14:textId="77777777" w:rsidR="00FC097F" w:rsidRPr="00FC097F" w:rsidRDefault="00FC097F" w:rsidP="009D258B">
      <w:pPr>
        <w:rPr>
          <w:lang w:val="el-GR"/>
        </w:rPr>
      </w:pPr>
      <w:r w:rsidRPr="00FC097F">
        <w:rPr>
          <w:lang w:val="el-GR"/>
        </w:rPr>
        <w:t xml:space="preserve">Η παρούσα διπλωματική εργασία, με τίτλο «Μέτρηση Κινδύνου Αγοράς με </w:t>
      </w:r>
      <w:r>
        <w:t>Value</w:t>
      </w:r>
      <w:r w:rsidRPr="00FC097F">
        <w:rPr>
          <w:lang w:val="el-GR"/>
        </w:rPr>
        <w:t xml:space="preserve"> </w:t>
      </w:r>
      <w:r>
        <w:t>at</w:t>
      </w:r>
      <w:r w:rsidRPr="00FC097F">
        <w:rPr>
          <w:lang w:val="el-GR"/>
        </w:rPr>
        <w:t xml:space="preserve"> </w:t>
      </w:r>
      <w:r>
        <w:t>Risk</w:t>
      </w:r>
      <w:r w:rsidRPr="00FC097F">
        <w:rPr>
          <w:lang w:val="el-GR"/>
        </w:rPr>
        <w:t xml:space="preserve"> και Εφαρμογή Αντιστάθμισης με </w:t>
      </w:r>
      <w:r>
        <w:t>Futures</w:t>
      </w:r>
      <w:r w:rsidRPr="00FC097F">
        <w:rPr>
          <w:lang w:val="el-GR"/>
        </w:rPr>
        <w:t xml:space="preserve">», εκπονήθηκε από τον Αθανάσιο </w:t>
      </w:r>
      <w:proofErr w:type="spellStart"/>
      <w:r w:rsidRPr="00FC097F">
        <w:rPr>
          <w:lang w:val="el-GR"/>
        </w:rPr>
        <w:t>Μπούγλα</w:t>
      </w:r>
      <w:proofErr w:type="spellEnd"/>
      <w:r w:rsidRPr="00FC097F">
        <w:rPr>
          <w:lang w:val="el-GR"/>
        </w:rPr>
        <w:t xml:space="preserve"> και υποβάλλεται στο Πανεπιστήμιο </w:t>
      </w:r>
      <w:proofErr w:type="spellStart"/>
      <w:r w:rsidRPr="00FC097F">
        <w:rPr>
          <w:lang w:val="el-GR"/>
        </w:rPr>
        <w:t>Νεάπολις</w:t>
      </w:r>
      <w:proofErr w:type="spellEnd"/>
      <w:r w:rsidRPr="00FC097F">
        <w:rPr>
          <w:lang w:val="el-GR"/>
        </w:rPr>
        <w:t xml:space="preserve"> Πάφος στο πλαίσιο των απαιτήσεων του Προγράμματος Μεταπτυχιακών Σπουδών στα Χρηματοοικονομικά και τις Επενδύσεις.</w:t>
      </w:r>
    </w:p>
    <w:p w14:paraId="6A5F58B5" w14:textId="77777777" w:rsidR="00FC097F" w:rsidRPr="00FC097F" w:rsidRDefault="00FC097F" w:rsidP="00FC097F">
      <w:pPr>
        <w:jc w:val="left"/>
        <w:rPr>
          <w:lang w:val="el-GR"/>
        </w:rPr>
      </w:pPr>
      <w:r w:rsidRPr="00FC097F">
        <w:rPr>
          <w:b/>
          <w:sz w:val="26"/>
          <w:lang w:val="el-GR"/>
        </w:rPr>
        <w:t>Σύνθεση Εξεταστικής Επιτροπής</w:t>
      </w:r>
    </w:p>
    <w:p w14:paraId="66DB15DB" w14:textId="77777777" w:rsidR="00FC097F" w:rsidRPr="00FC097F" w:rsidRDefault="00FC097F" w:rsidP="00FC097F">
      <w:pPr>
        <w:jc w:val="left"/>
        <w:rPr>
          <w:lang w:val="el-GR"/>
        </w:rPr>
      </w:pPr>
      <w:r w:rsidRPr="00FC097F">
        <w:rPr>
          <w:lang w:val="el-GR"/>
        </w:rPr>
        <w:t xml:space="preserve">Επιβλέπων: </w:t>
      </w:r>
      <w:proofErr w:type="spellStart"/>
      <w:r w:rsidRPr="00FC097F">
        <w:rPr>
          <w:lang w:val="el-GR"/>
        </w:rPr>
        <w:t>Καθ</w:t>
      </w:r>
      <w:proofErr w:type="spellEnd"/>
      <w:r w:rsidRPr="00FC097F">
        <w:rPr>
          <w:lang w:val="el-GR"/>
        </w:rPr>
        <w:t>. Κωνσταντίνος Γιαννόπουλος</w:t>
      </w:r>
    </w:p>
    <w:p w14:paraId="7DE2674B" w14:textId="04770378" w:rsidR="00FC097F" w:rsidRPr="00FC097F" w:rsidRDefault="00FC097F" w:rsidP="00FC097F">
      <w:pPr>
        <w:jc w:val="left"/>
        <w:rPr>
          <w:lang w:val="el-GR"/>
        </w:rPr>
      </w:pPr>
      <w:r w:rsidRPr="00FC097F">
        <w:rPr>
          <w:lang w:val="el-GR"/>
        </w:rPr>
        <w:t xml:space="preserve">Μέλος: </w:t>
      </w:r>
      <w:r w:rsidR="00B02673">
        <w:rPr>
          <w:lang w:val="el-GR"/>
        </w:rPr>
        <w:t xml:space="preserve">Δρ. </w:t>
      </w:r>
      <w:r w:rsidR="00ED67BB">
        <w:rPr>
          <w:lang w:val="el-GR"/>
        </w:rPr>
        <w:t>Δημητρ</w:t>
      </w:r>
      <w:r w:rsidR="002A1ED2">
        <w:rPr>
          <w:lang w:val="el-GR"/>
        </w:rPr>
        <w:t>ίου Δήμητρα</w:t>
      </w:r>
    </w:p>
    <w:p w14:paraId="71A1A84C" w14:textId="5F100404" w:rsidR="00FC097F" w:rsidRPr="00FC097F" w:rsidRDefault="00FC097F" w:rsidP="00FC097F">
      <w:pPr>
        <w:jc w:val="left"/>
        <w:rPr>
          <w:lang w:val="el-GR"/>
        </w:rPr>
      </w:pPr>
      <w:r w:rsidRPr="00FC097F">
        <w:rPr>
          <w:lang w:val="el-GR"/>
        </w:rPr>
        <w:t>Μέλος:</w:t>
      </w:r>
      <w:r w:rsidR="002A1ED2">
        <w:rPr>
          <w:lang w:val="el-GR"/>
        </w:rPr>
        <w:t xml:space="preserve"> </w:t>
      </w:r>
      <w:proofErr w:type="spellStart"/>
      <w:r w:rsidR="00B02673">
        <w:rPr>
          <w:lang w:val="el-GR"/>
        </w:rPr>
        <w:t>Καθ</w:t>
      </w:r>
      <w:proofErr w:type="spellEnd"/>
      <w:r w:rsidR="00B02673">
        <w:rPr>
          <w:lang w:val="el-GR"/>
        </w:rPr>
        <w:t xml:space="preserve">. </w:t>
      </w:r>
      <w:r w:rsidR="002A1ED2">
        <w:rPr>
          <w:lang w:val="el-GR"/>
        </w:rPr>
        <w:t>Ψυλ</w:t>
      </w:r>
      <w:r w:rsidR="00B02673">
        <w:rPr>
          <w:lang w:val="el-GR"/>
        </w:rPr>
        <w:t>λ</w:t>
      </w:r>
      <w:r w:rsidR="002A1ED2">
        <w:rPr>
          <w:lang w:val="el-GR"/>
        </w:rPr>
        <w:t>άκη Μαρία</w:t>
      </w:r>
    </w:p>
    <w:p w14:paraId="61C255C8" w14:textId="77777777" w:rsidR="00FC097F" w:rsidRPr="00FC097F" w:rsidRDefault="00FC097F" w:rsidP="00FC097F">
      <w:pPr>
        <w:jc w:val="left"/>
        <w:rPr>
          <w:lang w:val="el-GR"/>
        </w:rPr>
      </w:pPr>
      <w:r w:rsidRPr="00FC097F">
        <w:rPr>
          <w:lang w:val="el-GR"/>
        </w:rPr>
        <w:br w:type="page"/>
      </w:r>
    </w:p>
    <w:p w14:paraId="7761C254" w14:textId="77777777" w:rsidR="00FC097F" w:rsidRPr="00FC097F" w:rsidRDefault="00FC097F" w:rsidP="00FC097F">
      <w:pPr>
        <w:pStyle w:val="13"/>
        <w:jc w:val="left"/>
        <w:rPr>
          <w:lang w:val="el-GR"/>
        </w:rPr>
      </w:pPr>
      <w:r w:rsidRPr="00FC097F">
        <w:rPr>
          <w:rFonts w:ascii="Times New Roman" w:eastAsia="Times New Roman" w:hAnsi="Times New Roman"/>
          <w:lang w:val="el-GR"/>
        </w:rPr>
        <w:lastRenderedPageBreak/>
        <w:t>Υπεύθυνη Δήλωση</w:t>
      </w:r>
    </w:p>
    <w:p w14:paraId="644624F0" w14:textId="5FFD98BE" w:rsidR="00FC097F" w:rsidRPr="004B0046" w:rsidRDefault="004B0046" w:rsidP="00DD7030">
      <w:pPr>
        <w:rPr>
          <w:szCs w:val="24"/>
          <w:lang w:val="el-GR"/>
        </w:rPr>
      </w:pPr>
      <w:r w:rsidRPr="004B0046">
        <w:rPr>
          <w:szCs w:val="24"/>
          <w:lang w:val="el-GR"/>
        </w:rPr>
        <w:t>Ο</w:t>
      </w:r>
      <w:r>
        <w:rPr>
          <w:szCs w:val="24"/>
          <w:lang w:val="el-GR"/>
        </w:rPr>
        <w:t xml:space="preserve"> </w:t>
      </w:r>
      <w:proofErr w:type="spellStart"/>
      <w:r>
        <w:rPr>
          <w:szCs w:val="24"/>
          <w:lang w:val="el-GR"/>
        </w:rPr>
        <w:t>Μπούγλας</w:t>
      </w:r>
      <w:proofErr w:type="spellEnd"/>
      <w:r>
        <w:rPr>
          <w:szCs w:val="24"/>
          <w:lang w:val="el-GR"/>
        </w:rPr>
        <w:t xml:space="preserve"> Αθανάσιος</w:t>
      </w:r>
      <w:r w:rsidRPr="004B0046">
        <w:rPr>
          <w:szCs w:val="24"/>
          <w:lang w:val="el-GR"/>
        </w:rPr>
        <w:t>, γνωρίζοντας τις συνέπειες της λογοκλοπής, δηλώνω υπεύθυνα ότι η παρούσα εργασία με τίτλο «</w:t>
      </w:r>
      <w:r w:rsidRPr="00FC097F">
        <w:rPr>
          <w:lang w:val="el-GR"/>
        </w:rPr>
        <w:t xml:space="preserve">Μέτρηση Κινδύνου Αγοράς με </w:t>
      </w:r>
      <w:r>
        <w:t>Value</w:t>
      </w:r>
      <w:r w:rsidRPr="00FC097F">
        <w:rPr>
          <w:lang w:val="el-GR"/>
        </w:rPr>
        <w:t xml:space="preserve"> </w:t>
      </w:r>
      <w:r>
        <w:t>at</w:t>
      </w:r>
      <w:r w:rsidRPr="00FC097F">
        <w:rPr>
          <w:lang w:val="el-GR"/>
        </w:rPr>
        <w:t xml:space="preserve"> </w:t>
      </w:r>
      <w:r>
        <w:t>Risk</w:t>
      </w:r>
      <w:r w:rsidRPr="00FC097F">
        <w:rPr>
          <w:lang w:val="el-GR"/>
        </w:rPr>
        <w:t xml:space="preserve"> και Εφαρμογή Αντιστάθμισης με </w:t>
      </w:r>
      <w:r>
        <w:t>Futures</w:t>
      </w:r>
      <w:r w:rsidRPr="004B0046">
        <w:rPr>
          <w:i/>
          <w:iCs/>
          <w:szCs w:val="24"/>
          <w:lang w:val="el-GR"/>
        </w:rPr>
        <w:t xml:space="preserve">», </w:t>
      </w:r>
      <w:r w:rsidRPr="004B0046">
        <w:rPr>
          <w:szCs w:val="24"/>
          <w:lang w:val="el-GR"/>
        </w:rPr>
        <w:t>αποτελεί προϊόν αυστηρά προσωπικής εργασίας και όλες οι πηγές που έχω χρησιμοποιήσει, έχουν δηλωθεί κατάλληλα στις βιβλιογραφικές παραπομπές και αναφορές. Τα σημεία όπου έχω χρησιμοποιήσει ιδέες, κείμενο ή/και πηγές άλλων συγγραφέων, αναφέρονται ευδιάκριτα στο κείμενο με την κατάλληλη παραπομπή και η σχετική αναφορά περιλαμβάνεται στο τμήμα των βιβλιογραφικών αναφορών με πλήρη περιγραφή.</w:t>
      </w:r>
    </w:p>
    <w:p w14:paraId="6C2DE94E" w14:textId="77777777" w:rsidR="00DD7030" w:rsidRDefault="00FC097F" w:rsidP="00FC097F">
      <w:pPr>
        <w:jc w:val="left"/>
        <w:rPr>
          <w:lang w:val="el-GR"/>
        </w:rPr>
      </w:pPr>
      <w:r w:rsidRPr="00FC097F">
        <w:rPr>
          <w:lang w:val="el-GR"/>
        </w:rPr>
        <w:t xml:space="preserve">Ο </w:t>
      </w:r>
      <w:r w:rsidR="00DD7030">
        <w:rPr>
          <w:lang w:val="el-GR"/>
        </w:rPr>
        <w:t xml:space="preserve">Δηλών </w:t>
      </w:r>
      <w:r w:rsidRPr="00FC097F">
        <w:rPr>
          <w:lang w:val="el-GR"/>
        </w:rPr>
        <w:t xml:space="preserve">: </w:t>
      </w:r>
    </w:p>
    <w:p w14:paraId="7203FD4D" w14:textId="6AB0B23C" w:rsidR="00FC097F" w:rsidRPr="00FC097F" w:rsidRDefault="00D4090F" w:rsidP="00FC097F">
      <w:pPr>
        <w:jc w:val="left"/>
        <w:rPr>
          <w:lang w:val="el-GR"/>
        </w:rPr>
      </w:pPr>
      <w:proofErr w:type="spellStart"/>
      <w:r>
        <w:rPr>
          <w:lang w:val="el-GR"/>
        </w:rPr>
        <w:t>Μπούγλας</w:t>
      </w:r>
      <w:proofErr w:type="spellEnd"/>
      <w:r>
        <w:rPr>
          <w:lang w:val="el-GR"/>
        </w:rPr>
        <w:t xml:space="preserve"> Αθανάσιος</w:t>
      </w:r>
    </w:p>
    <w:p w14:paraId="608E6E2C" w14:textId="77777777" w:rsidR="00FC097F" w:rsidRPr="00FC097F" w:rsidRDefault="00FC097F" w:rsidP="00FC097F">
      <w:pPr>
        <w:jc w:val="left"/>
        <w:rPr>
          <w:lang w:val="el-GR"/>
        </w:rPr>
      </w:pPr>
      <w:r w:rsidRPr="00FC097F">
        <w:rPr>
          <w:lang w:val="el-GR"/>
        </w:rPr>
        <w:br w:type="page"/>
      </w:r>
    </w:p>
    <w:p w14:paraId="532581BF" w14:textId="77777777" w:rsidR="00FC097F" w:rsidRPr="005B30C1" w:rsidRDefault="00FC097F" w:rsidP="00FC097F">
      <w:pPr>
        <w:pStyle w:val="13"/>
        <w:spacing w:after="120"/>
        <w:jc w:val="left"/>
        <w:rPr>
          <w:lang w:val="el-GR"/>
        </w:rPr>
      </w:pPr>
      <w:bookmarkStart w:id="1" w:name="περίληψη"/>
      <w:r w:rsidRPr="005B30C1">
        <w:rPr>
          <w:rFonts w:ascii="Times New Roman" w:eastAsia="Times New Roman" w:hAnsi="Times New Roman"/>
          <w:sz w:val="24"/>
          <w:lang w:val="el-GR"/>
        </w:rPr>
        <w:lastRenderedPageBreak/>
        <w:t>Περίληψη</w:t>
      </w:r>
    </w:p>
    <w:p w14:paraId="60EF6E93" w14:textId="77777777" w:rsidR="00FC097F" w:rsidRPr="005B30C1" w:rsidRDefault="00FC097F" w:rsidP="00FC097F">
      <w:pPr>
        <w:ind w:firstLine="357"/>
        <w:rPr>
          <w:lang w:val="el-GR"/>
        </w:rPr>
      </w:pPr>
      <w:r w:rsidRPr="00FC097F">
        <w:rPr>
          <w:lang w:val="el-GR"/>
        </w:rPr>
        <w:t xml:space="preserve">Η παρούσα διπλωματική εργασία εξετάζει τη μέτρηση και αξιολόγηση του κινδύνου αγοράς ενός ενδεικτικού μετοχικού χαρτοφυλακίου, καθώς και την πρακτική δυνατότητα μείωσης της έκθεσης μέσω αντιστάθμισης με συμβόλαια μελλοντικής εκπλήρωσης. Το χαρτοφυλάκιο αποτελείται από τρεις μετοχές μεγάλης κεφαλαιοποίησης της αμερικανικής αγοράς, την </w:t>
      </w:r>
      <w:r>
        <w:t>Coca</w:t>
      </w:r>
      <w:r w:rsidRPr="00FC097F">
        <w:rPr>
          <w:lang w:val="el-GR"/>
        </w:rPr>
        <w:t>-</w:t>
      </w:r>
      <w:r>
        <w:t>Cola</w:t>
      </w:r>
      <w:r w:rsidRPr="00FC097F">
        <w:rPr>
          <w:lang w:val="el-GR"/>
        </w:rPr>
        <w:t xml:space="preserve">, τη </w:t>
      </w:r>
      <w:r>
        <w:t>Microsoft</w:t>
      </w:r>
      <w:r w:rsidRPr="00FC097F">
        <w:rPr>
          <w:lang w:val="el-GR"/>
        </w:rPr>
        <w:t xml:space="preserve"> και την </w:t>
      </w:r>
      <w:r>
        <w:t>JPMorgan</w:t>
      </w:r>
      <w:r w:rsidRPr="00FC097F">
        <w:rPr>
          <w:lang w:val="el-GR"/>
        </w:rPr>
        <w:t xml:space="preserve"> </w:t>
      </w:r>
      <w:r>
        <w:t>Chase</w:t>
      </w:r>
      <w:r w:rsidRPr="00FC097F">
        <w:rPr>
          <w:lang w:val="el-GR"/>
        </w:rPr>
        <w:t xml:space="preserve">, με ίση στάθμιση μεταξύ τους. Για την εμπειρική ανάλυση χρησιμοποιούνται ημερήσια δεδομένα από 02/01/2020 έως 31/12/2025. Μετά τον υπολογισμό των λογαριθμικών αποδόσεων και την εφαρμογή κυλιόμενου παραθύρου 250 ημερών, το δείγμα </w:t>
      </w:r>
      <w:proofErr w:type="spellStart"/>
      <w:r>
        <w:t>backtesting</w:t>
      </w:r>
      <w:proofErr w:type="spellEnd"/>
      <w:r w:rsidRPr="00FC097F">
        <w:rPr>
          <w:lang w:val="el-GR"/>
        </w:rPr>
        <w:t xml:space="preserve"> (εκ των υστέρων ελέγχου) εκτείνεται από 29/12/2020 έως 31/12/2025 και περιλαμβάνει 1.258 ημερήσιες εκτιμήσεις κινδύνου.</w:t>
      </w:r>
    </w:p>
    <w:p w14:paraId="5C71F6B6" w14:textId="77777777" w:rsidR="00FC097F" w:rsidRPr="005B30C1" w:rsidRDefault="00FC097F" w:rsidP="00FC097F">
      <w:pPr>
        <w:pStyle w:val="af"/>
        <w:rPr>
          <w:lang w:val="el-GR"/>
        </w:rPr>
      </w:pPr>
      <w:r w:rsidRPr="005B30C1">
        <w:rPr>
          <w:lang w:val="el-GR"/>
        </w:rPr>
        <w:t xml:space="preserve">Η εργασία στηρίζεται σε δύο μεθόδους </w:t>
      </w:r>
      <w:r>
        <w:t>Value</w:t>
      </w:r>
      <w:r w:rsidRPr="005B30C1">
        <w:rPr>
          <w:lang w:val="el-GR"/>
        </w:rPr>
        <w:t xml:space="preserve"> </w:t>
      </w:r>
      <w:r>
        <w:t>at</w:t>
      </w:r>
      <w:r w:rsidRPr="005B30C1">
        <w:rPr>
          <w:lang w:val="el-GR"/>
        </w:rPr>
        <w:t xml:space="preserve"> </w:t>
      </w:r>
      <w:r>
        <w:t>Risk</w:t>
      </w:r>
      <w:r w:rsidRPr="005B30C1">
        <w:rPr>
          <w:lang w:val="el-GR"/>
        </w:rPr>
        <w:t xml:space="preserve"> σε επίπεδο εμπιστοσύνης 99%: την Ιστορική Προσομοίωση και τη μέθοδο </w:t>
      </w:r>
      <w:r>
        <w:t>EWMA</w:t>
      </w:r>
      <w:r w:rsidRPr="005B30C1">
        <w:rPr>
          <w:lang w:val="el-GR"/>
        </w:rPr>
        <w:t xml:space="preserve">. Η Ιστορική Προσομοίωση αξιοποιεί την εμπειρική κατανομή προηγούμενων αποδόσεων, ενώ η </w:t>
      </w:r>
      <w:r>
        <w:t>EWMA</w:t>
      </w:r>
      <w:r w:rsidRPr="005B30C1">
        <w:rPr>
          <w:lang w:val="el-GR"/>
        </w:rPr>
        <w:t xml:space="preserve"> δίνει μεγαλύτερη βαρύτητα στις πρόσφατες παρατηρήσεις και επιτρέπει τη δυναμική προσαρμογή της μεταβλητότητας. Η αξιοπιστία των δύο μεθόδων ελέγχεται με </w:t>
      </w:r>
      <w:proofErr w:type="spellStart"/>
      <w:r>
        <w:t>backtesting</w:t>
      </w:r>
      <w:proofErr w:type="spellEnd"/>
      <w:r w:rsidRPr="005B30C1">
        <w:rPr>
          <w:lang w:val="el-GR"/>
        </w:rPr>
        <w:t xml:space="preserve"> και με τον έλεγχο ανεπιφύλακτης κάλυψης </w:t>
      </w:r>
      <w:r>
        <w:t>Kupiec</w:t>
      </w:r>
      <w:r w:rsidRPr="005B30C1">
        <w:rPr>
          <w:lang w:val="el-GR"/>
        </w:rPr>
        <w:t xml:space="preserve">. Στο αρχικό χαρτοφυλάκιο η </w:t>
      </w:r>
      <w:r>
        <w:t>EWMA</w:t>
      </w:r>
      <w:r w:rsidRPr="005B30C1">
        <w:rPr>
          <w:lang w:val="el-GR"/>
        </w:rPr>
        <w:t xml:space="preserve"> </w:t>
      </w:r>
      <w:proofErr w:type="spellStart"/>
      <w:r>
        <w:t>VaR</w:t>
      </w:r>
      <w:proofErr w:type="spellEnd"/>
      <w:r w:rsidRPr="005B30C1">
        <w:rPr>
          <w:lang w:val="el-GR"/>
        </w:rPr>
        <w:t xml:space="preserve"> εμφανίζει 29 εξαιρέσεις και απορρίπτεται, ενώ η </w:t>
      </w:r>
      <w:r>
        <w:t>Historical</w:t>
      </w:r>
      <w:r w:rsidRPr="005B30C1">
        <w:rPr>
          <w:lang w:val="el-GR"/>
        </w:rPr>
        <w:t xml:space="preserve"> </w:t>
      </w:r>
      <w:proofErr w:type="spellStart"/>
      <w:r>
        <w:t>VaR</w:t>
      </w:r>
      <w:proofErr w:type="spellEnd"/>
      <w:r w:rsidRPr="005B30C1">
        <w:rPr>
          <w:lang w:val="el-GR"/>
        </w:rPr>
        <w:t xml:space="preserve"> εμφανίζει 13 εξαιρέσεις και δεν απορρίπτεται. Μετά την αντιστάθμιση με </w:t>
      </w:r>
      <w:r>
        <w:t>E</w:t>
      </w:r>
      <w:r w:rsidRPr="005B30C1">
        <w:rPr>
          <w:lang w:val="el-GR"/>
        </w:rPr>
        <w:t>-</w:t>
      </w:r>
      <w:r>
        <w:t>mini</w:t>
      </w:r>
      <w:r w:rsidRPr="005B30C1">
        <w:rPr>
          <w:lang w:val="el-GR"/>
        </w:rPr>
        <w:t xml:space="preserve"> </w:t>
      </w:r>
      <w:r>
        <w:t>S</w:t>
      </w:r>
      <w:r w:rsidRPr="005B30C1">
        <w:rPr>
          <w:lang w:val="el-GR"/>
        </w:rPr>
        <w:t>&amp;</w:t>
      </w:r>
      <w:r>
        <w:t>P</w:t>
      </w:r>
      <w:r w:rsidRPr="005B30C1">
        <w:rPr>
          <w:lang w:val="el-GR"/>
        </w:rPr>
        <w:t xml:space="preserve"> 500 </w:t>
      </w:r>
      <w:r>
        <w:t>futures</w:t>
      </w:r>
      <w:r w:rsidRPr="005B30C1">
        <w:rPr>
          <w:lang w:val="el-GR"/>
        </w:rPr>
        <w:t xml:space="preserve">, η μεταβλητότητα και η </w:t>
      </w:r>
      <w:proofErr w:type="spellStart"/>
      <w:r>
        <w:t>VaR</w:t>
      </w:r>
      <w:proofErr w:type="spellEnd"/>
      <w:r w:rsidRPr="005B30C1">
        <w:rPr>
          <w:lang w:val="el-GR"/>
        </w:rPr>
        <w:t xml:space="preserve"> μειώνονται σημαντικά, αλλά η αξιολόγηση των μοντέλων παραμένει διαφοροποιημένη: η </w:t>
      </w:r>
      <w:r>
        <w:t>EWMA</w:t>
      </w:r>
      <w:r w:rsidRPr="005B30C1">
        <w:rPr>
          <w:lang w:val="el-GR"/>
        </w:rPr>
        <w:t xml:space="preserve"> </w:t>
      </w:r>
      <w:proofErr w:type="spellStart"/>
      <w:r>
        <w:t>VaR</w:t>
      </w:r>
      <w:proofErr w:type="spellEnd"/>
      <w:r w:rsidRPr="005B30C1">
        <w:rPr>
          <w:lang w:val="el-GR"/>
        </w:rPr>
        <w:t xml:space="preserve"> εξακολουθεί να απορρίπτεται, ενώ η </w:t>
      </w:r>
      <w:r>
        <w:t>Historical</w:t>
      </w:r>
      <w:r w:rsidRPr="005B30C1">
        <w:rPr>
          <w:lang w:val="el-GR"/>
        </w:rPr>
        <w:t xml:space="preserve"> </w:t>
      </w:r>
      <w:proofErr w:type="spellStart"/>
      <w:r>
        <w:t>VaR</w:t>
      </w:r>
      <w:proofErr w:type="spellEnd"/>
      <w:r w:rsidRPr="005B30C1">
        <w:rPr>
          <w:lang w:val="el-GR"/>
        </w:rPr>
        <w:t xml:space="preserve"> διατηρεί αποδεκτή συμπεριφορά στον έλεγχο </w:t>
      </w:r>
      <w:r>
        <w:t>Kupiec</w:t>
      </w:r>
      <w:r w:rsidRPr="005B30C1">
        <w:rPr>
          <w:lang w:val="el-GR"/>
        </w:rPr>
        <w:t>.</w:t>
      </w:r>
    </w:p>
    <w:p w14:paraId="1B1280E2" w14:textId="77777777" w:rsidR="00FC097F" w:rsidRPr="005B30C1" w:rsidRDefault="00FC097F" w:rsidP="00FC097F">
      <w:pPr>
        <w:pStyle w:val="af"/>
        <w:rPr>
          <w:lang w:val="el-GR"/>
        </w:rPr>
      </w:pPr>
      <w:r w:rsidRPr="005B30C1">
        <w:rPr>
          <w:lang w:val="el-GR"/>
        </w:rPr>
        <w:t xml:space="preserve">Τα αποτελέσματα δείχνουν ότι η μέτρηση του κινδύνου αγοράς δεν πρέπει να αντιμετωπίζεται ως μηχανικός υπολογισμός ενός αριθμού, αλλά ως διαδικασία που απαιτεί έλεγχο, ερμηνεία και κατανόηση των περιορισμών κάθε υποδείγματος. Η </w:t>
      </w:r>
      <w:proofErr w:type="spellStart"/>
      <w:r>
        <w:t>VaR</w:t>
      </w:r>
      <w:proofErr w:type="spellEnd"/>
      <w:r w:rsidRPr="005B30C1">
        <w:rPr>
          <w:lang w:val="el-GR"/>
        </w:rPr>
        <w:t xml:space="preserve"> παρέχει ένα χρήσιμο και εύληπτο μέτρο δυνητικής ζημίας, όμως η αξιοπιστία της εξαρτάται από τη μέθοδο υπολογισμού, την περίοδο δεδομένων και την εμπειρική επαλήθευση μέσω </w:t>
      </w:r>
      <w:proofErr w:type="spellStart"/>
      <w:r>
        <w:t>backtesting</w:t>
      </w:r>
      <w:proofErr w:type="spellEnd"/>
      <w:r w:rsidRPr="005B30C1">
        <w:rPr>
          <w:lang w:val="el-GR"/>
        </w:rPr>
        <w:t xml:space="preserve">. Παράλληλα, η εφαρμογή αντιστάθμισης με </w:t>
      </w:r>
      <w:r>
        <w:t>futures</w:t>
      </w:r>
      <w:r w:rsidRPr="005B30C1">
        <w:rPr>
          <w:lang w:val="el-GR"/>
        </w:rPr>
        <w:t xml:space="preserve"> αναδεικνύει ότι η μέτρηση του κινδύνου προηγείται της διαχειριστικής απόφασης για τη μείωσή του και ότι η διάκριση μεταξύ </w:t>
      </w:r>
      <w:r>
        <w:t>risk</w:t>
      </w:r>
      <w:r w:rsidRPr="005B30C1">
        <w:rPr>
          <w:lang w:val="el-GR"/>
        </w:rPr>
        <w:t xml:space="preserve"> </w:t>
      </w:r>
      <w:r>
        <w:t>management</w:t>
      </w:r>
      <w:r w:rsidRPr="005B30C1">
        <w:rPr>
          <w:lang w:val="el-GR"/>
        </w:rPr>
        <w:t xml:space="preserve"> και </w:t>
      </w:r>
      <w:r>
        <w:t>hedging</w:t>
      </w:r>
      <w:r w:rsidRPr="005B30C1">
        <w:rPr>
          <w:lang w:val="el-GR"/>
        </w:rPr>
        <w:t xml:space="preserve"> είναι ουσιώδης για την ορθή λειτουργία ενός πλαισίου ελέγχου κινδύνου.</w:t>
      </w:r>
    </w:p>
    <w:p w14:paraId="2FE70CA2" w14:textId="77777777" w:rsidR="00FC097F" w:rsidRPr="00FC097F" w:rsidRDefault="00FC097F" w:rsidP="00FC097F">
      <w:pPr>
        <w:rPr>
          <w:lang w:val="el-GR"/>
        </w:rPr>
      </w:pPr>
      <w:r w:rsidRPr="00FC097F">
        <w:rPr>
          <w:lang w:val="el-GR"/>
        </w:rPr>
        <w:br w:type="page"/>
      </w:r>
    </w:p>
    <w:p w14:paraId="4DDC74F9" w14:textId="77777777" w:rsidR="00FC097F" w:rsidRDefault="00FC097F" w:rsidP="00FC097F">
      <w:pPr>
        <w:pStyle w:val="13"/>
        <w:spacing w:after="120"/>
        <w:jc w:val="left"/>
      </w:pPr>
      <w:bookmarkStart w:id="2" w:name="abstract"/>
      <w:bookmarkEnd w:id="1"/>
      <w:r>
        <w:rPr>
          <w:rFonts w:ascii="Times New Roman" w:eastAsia="Times New Roman" w:hAnsi="Times New Roman"/>
          <w:sz w:val="24"/>
        </w:rPr>
        <w:lastRenderedPageBreak/>
        <w:t>Abstract</w:t>
      </w:r>
    </w:p>
    <w:p w14:paraId="1D80514C" w14:textId="77777777" w:rsidR="00FC097F" w:rsidRDefault="00FC097F" w:rsidP="00FC097F">
      <w:pPr>
        <w:ind w:firstLine="357"/>
      </w:pPr>
      <w:r>
        <w:t xml:space="preserve">This dissertation examines the measurement and evaluation of market risk for an illustrative equity portfolio and the practical effect of hedging through stock index futures. The portfolio consists of three large-cap U.S. stocks, Coca-Cola, Microsoft and JPMorgan Chase, equally weighted. The empirical analysis uses daily data from 02/01/2020 to 31/12/2025. After the computation of logarithmic returns and the use of a 250-day rolling window, the </w:t>
      </w:r>
      <w:proofErr w:type="spellStart"/>
      <w:r>
        <w:t>backtesting</w:t>
      </w:r>
      <w:proofErr w:type="spellEnd"/>
      <w:r>
        <w:t xml:space="preserve"> sample runs from 29/12/2020 to 31/12/2025 and includes 1,258 daily </w:t>
      </w:r>
      <w:proofErr w:type="spellStart"/>
      <w:r>
        <w:t>VaR</w:t>
      </w:r>
      <w:proofErr w:type="spellEnd"/>
      <w:r>
        <w:t xml:space="preserve"> forecasts.</w:t>
      </w:r>
    </w:p>
    <w:p w14:paraId="5EBB861B" w14:textId="77777777" w:rsidR="00FC097F" w:rsidRDefault="00FC097F" w:rsidP="00FC097F">
      <w:pPr>
        <w:pStyle w:val="af"/>
      </w:pPr>
      <w:r>
        <w:t xml:space="preserve">Two 99% Value at Risk methodologies are applied: Historical Simulation and the Exponentially Weighted Moving Average method. Historical Simulation relies on the empirical distribution of past returns, whereas EWMA gives greater weight to recent observations and allows volatility to adjust dynamically. The accuracy of both models is assessed through </w:t>
      </w:r>
      <w:proofErr w:type="spellStart"/>
      <w:r>
        <w:t>backtesting</w:t>
      </w:r>
      <w:proofErr w:type="spellEnd"/>
      <w:r>
        <w:t xml:space="preserve"> and the Kupiec unconditional coverage test. For the unhedged portfolio, EWMA </w:t>
      </w:r>
      <w:proofErr w:type="spellStart"/>
      <w:r>
        <w:t>VaR</w:t>
      </w:r>
      <w:proofErr w:type="spellEnd"/>
      <w:r>
        <w:t xml:space="preserve"> records 29 exceptions and is rejected, whereas Historical </w:t>
      </w:r>
      <w:proofErr w:type="spellStart"/>
      <w:r>
        <w:t>VaR</w:t>
      </w:r>
      <w:proofErr w:type="spellEnd"/>
      <w:r>
        <w:t xml:space="preserve"> records 13 exceptions and is not rejected. After hedging with E-</w:t>
      </w:r>
      <w:proofErr w:type="gramStart"/>
      <w:r>
        <w:t>mini S</w:t>
      </w:r>
      <w:proofErr w:type="gramEnd"/>
      <w:r>
        <w:t xml:space="preserve">&amp;P 500 futures, volatility and </w:t>
      </w:r>
      <w:proofErr w:type="spellStart"/>
      <w:r>
        <w:t>VaR</w:t>
      </w:r>
      <w:proofErr w:type="spellEnd"/>
      <w:r>
        <w:t xml:space="preserve"> are materially reduced. However, model validation remains method-specific: EWMA </w:t>
      </w:r>
      <w:proofErr w:type="spellStart"/>
      <w:r>
        <w:t>VaR</w:t>
      </w:r>
      <w:proofErr w:type="spellEnd"/>
      <w:r>
        <w:t xml:space="preserve"> is still rejected, while Historical </w:t>
      </w:r>
      <w:proofErr w:type="spellStart"/>
      <w:r>
        <w:t>VaR</w:t>
      </w:r>
      <w:proofErr w:type="spellEnd"/>
      <w:r>
        <w:t xml:space="preserve"> remains statistically acceptable under the Kupiec test.</w:t>
      </w:r>
    </w:p>
    <w:p w14:paraId="5B14AE2C" w14:textId="77777777" w:rsidR="00FC097F" w:rsidRDefault="00FC097F" w:rsidP="00FC097F">
      <w:pPr>
        <w:pStyle w:val="af"/>
      </w:pPr>
      <w:r>
        <w:t xml:space="preserve">The findings indicate that market risk measurement should not be viewed as a purely mechanical calculation. </w:t>
      </w:r>
      <w:proofErr w:type="spellStart"/>
      <w:r>
        <w:t>VaR</w:t>
      </w:r>
      <w:proofErr w:type="spellEnd"/>
      <w:r>
        <w:t xml:space="preserve"> is useful because it translates potential loss into a clear quantitative measure, but its reliability depends on </w:t>
      </w:r>
      <w:proofErr w:type="spellStart"/>
      <w:r>
        <w:t>backtesting</w:t>
      </w:r>
      <w:proofErr w:type="spellEnd"/>
      <w:r>
        <w:t>, model governance and an explicit understanding of its limitations. The dissertation also highlights the distinction between risk measurement, which belongs to the risk management function, and hedging, which constitutes a portfolio management decision.</w:t>
      </w:r>
    </w:p>
    <w:p w14:paraId="6536F72A" w14:textId="77777777" w:rsidR="00F42479" w:rsidRDefault="00FC097F" w:rsidP="00290469">
      <w:pPr>
        <w:sectPr w:rsidR="00F42479" w:rsidSect="00302C15">
          <w:footerReference w:type="first" r:id="rId10"/>
          <w:pgSz w:w="12240" w:h="15840"/>
          <w:pgMar w:top="1134" w:right="1134" w:bottom="1134" w:left="1984" w:header="720" w:footer="720" w:gutter="0"/>
          <w:pgNumType w:fmt="lowerRoman" w:start="1"/>
          <w:cols w:space="720"/>
          <w:titlePg/>
          <w:docGrid w:linePitch="360"/>
        </w:sectPr>
      </w:pPr>
      <w:r>
        <w:br w:type="page"/>
      </w:r>
      <w:bookmarkStart w:id="3" w:name="πίνακας-περιεχομένων"/>
      <w:bookmarkEnd w:id="2"/>
    </w:p>
    <w:p w14:paraId="5075A34F" w14:textId="77777777" w:rsidR="00FC097F" w:rsidRPr="005B30C1" w:rsidRDefault="00FC097F" w:rsidP="002455D5">
      <w:pPr>
        <w:pStyle w:val="1"/>
        <w:rPr>
          <w:lang w:val="el-GR"/>
        </w:rPr>
      </w:pPr>
      <w:bookmarkStart w:id="4" w:name="_Toc232171063"/>
      <w:bookmarkStart w:id="5" w:name="X0ffcafe665aa59587aca9ec9ab86efa4d3c711b"/>
      <w:bookmarkEnd w:id="3"/>
      <w:r w:rsidRPr="005B30C1">
        <w:rPr>
          <w:rFonts w:eastAsia="Times New Roman"/>
          <w:lang w:val="el-GR"/>
        </w:rPr>
        <w:lastRenderedPageBreak/>
        <w:t>Κεφάλαιο 1: Διαχείριση Χρηματοοικονομικού Κινδύνου και Θεσμικό Πλαίσιο</w:t>
      </w:r>
      <w:bookmarkEnd w:id="4"/>
    </w:p>
    <w:p w14:paraId="4C06FD91" w14:textId="77777777" w:rsidR="00FC097F" w:rsidRPr="005B30C1" w:rsidRDefault="00FC097F" w:rsidP="00321E2E">
      <w:pPr>
        <w:pStyle w:val="21"/>
        <w:rPr>
          <w:lang w:val="el-GR"/>
        </w:rPr>
      </w:pPr>
      <w:bookmarkStart w:id="6" w:name="_Toc232171064"/>
      <w:bookmarkStart w:id="7" w:name="X6e03e5915816610036aab8b96058005f1821118"/>
      <w:r w:rsidRPr="005B30C1">
        <w:rPr>
          <w:rFonts w:eastAsia="Times New Roman"/>
          <w:lang w:val="el-GR"/>
        </w:rPr>
        <w:t>1.1 Εισαγωγή στη διαχείριση χρηματοοικονομικού κινδύνου</w:t>
      </w:r>
      <w:bookmarkEnd w:id="6"/>
    </w:p>
    <w:p w14:paraId="433A84C8" w14:textId="77777777" w:rsidR="00FC097F" w:rsidRPr="005B30C1" w:rsidRDefault="00FC097F" w:rsidP="00FC097F">
      <w:pPr>
        <w:ind w:firstLine="357"/>
        <w:rPr>
          <w:lang w:val="el-GR"/>
        </w:rPr>
      </w:pPr>
      <w:r w:rsidRPr="005B30C1">
        <w:rPr>
          <w:lang w:val="el-GR"/>
        </w:rPr>
        <w:t>Η έννοια της διαχείρισης χρηματοοικονομικού κινδύνου δεν περιορίζεται σε έναν τεχνικό υπολογισμό ή σε έναν μαθηματικό τύπο. Αποτελεί ένα ευρύτερο σύστημα αναγνώρισης, μέτρησης, παρακολούθησης και ελέγχου των κινδύνων που μπορεί να επηρεάσουν την οικονομική θέση ενός οργανισμού, την κεφαλαιακή του επάρκεια και, τελικά, τη δυνατότητά του να λειτουργεί με ασφάλεια μέσα σε ένα αβέβαιο περιβάλλον. Στον χρηματοπιστωτικό τομέα η έννοια αυτή έχει ιδιαίτερη σημασία, επειδή οι τράπεζες και οι επενδυτικοί οργανισμοί δεν διαχειρίζονται μόνο ίδια κεφάλαια, αλλά και κεφάλαια καταθετών, επενδυτών και αντισυμβαλλομένων. Επομένως, μια σοβαρή αποτυχία διαχείρισης κινδύνου δεν επηρεάζει αποκλειστικά τους μετόχους ενός οργανισμού. Μπορεί να μεταδοθεί στο ευρύτερο χρηματοοικονομικό σύστημα και να δημιουργήσει συστημικές συνέπειες.</w:t>
      </w:r>
    </w:p>
    <w:p w14:paraId="3704D615" w14:textId="77777777" w:rsidR="00FC097F" w:rsidRPr="005B30C1" w:rsidRDefault="00FC097F" w:rsidP="00FC097F">
      <w:pPr>
        <w:pStyle w:val="af"/>
        <w:rPr>
          <w:lang w:val="el-GR"/>
        </w:rPr>
      </w:pPr>
      <w:r w:rsidRPr="005B30C1">
        <w:rPr>
          <w:lang w:val="el-GR"/>
        </w:rPr>
        <w:t xml:space="preserve">Στη βιβλιογραφία η διαχείριση χρηματοοικονομικού κινδύνου προσεγγίζεται ως μια οργανωμένη διαδικασία μέσω της οποίας ο οργανισμός προσδιορίζει τις πηγές αβεβαιότητας, εκτιμά την πιθανή επίδρασή τους και αποφασίζει αν θα τις αποδεχθεί, θα τις μειώσει, θα τις μεταβιβάσει ή θα τις αντισταθμίσει. Η διαδικασία αυτή δεν είναι στατική. Αντίθετα, απαιτεί συνεχή </w:t>
      </w:r>
      <w:proofErr w:type="spellStart"/>
      <w:r w:rsidRPr="005B30C1">
        <w:rPr>
          <w:lang w:val="el-GR"/>
        </w:rPr>
        <w:t>επικαιροποίηση</w:t>
      </w:r>
      <w:proofErr w:type="spellEnd"/>
      <w:r w:rsidRPr="005B30C1">
        <w:rPr>
          <w:lang w:val="el-GR"/>
        </w:rPr>
        <w:t xml:space="preserve">, επειδή οι συνθήκες των αγορών, οι συσχετίσεις μεταξύ περιουσιακών στοιχείων, η μεταβλητότητα, η ρευστότητα και η συμπεριφορά των επενδυτών μεταβάλλονται διαρκώς. Για τον λόγο αυτό, τα σύγχρονα συστήματα </w:t>
      </w:r>
      <w:r>
        <w:t>risk</w:t>
      </w:r>
      <w:r w:rsidRPr="005B30C1">
        <w:rPr>
          <w:lang w:val="el-GR"/>
        </w:rPr>
        <w:t xml:space="preserve"> </w:t>
      </w:r>
      <w:r>
        <w:t>management</w:t>
      </w:r>
      <w:r w:rsidRPr="005B30C1">
        <w:rPr>
          <w:lang w:val="el-GR"/>
        </w:rPr>
        <w:t xml:space="preserve"> δεν βασίζονται μόνο σε λογιστικά στοιχεία ή σε ιστορική παρατήρηση, αλλά ενσωματώνουν ποσοτικά μοντέλα, </w:t>
      </w:r>
      <w:r>
        <w:t>stress</w:t>
      </w:r>
      <w:r w:rsidRPr="005B30C1">
        <w:rPr>
          <w:lang w:val="el-GR"/>
        </w:rPr>
        <w:t xml:space="preserve"> </w:t>
      </w:r>
      <w:r>
        <w:t>testing</w:t>
      </w:r>
      <w:r w:rsidRPr="005B30C1">
        <w:rPr>
          <w:lang w:val="el-GR"/>
        </w:rPr>
        <w:t xml:space="preserve">, </w:t>
      </w:r>
      <w:proofErr w:type="spellStart"/>
      <w:r>
        <w:t>backtesting</w:t>
      </w:r>
      <w:proofErr w:type="spellEnd"/>
      <w:r w:rsidRPr="005B30C1">
        <w:rPr>
          <w:lang w:val="el-GR"/>
        </w:rPr>
        <w:t>, εσωτερικά όρια κινδύνου και μηχανισμούς αναφοράς προς τη διοίκηση (</w:t>
      </w:r>
      <w:proofErr w:type="spellStart"/>
      <w:r w:rsidRPr="005B30C1">
        <w:rPr>
          <w:lang w:val="el-GR"/>
        </w:rPr>
        <w:t>Stulz</w:t>
      </w:r>
      <w:proofErr w:type="spellEnd"/>
      <w:r w:rsidRPr="005B30C1">
        <w:rPr>
          <w:lang w:val="el-GR"/>
        </w:rPr>
        <w:t xml:space="preserve">, 1996; </w:t>
      </w:r>
      <w:proofErr w:type="spellStart"/>
      <w:r w:rsidRPr="005B30C1">
        <w:rPr>
          <w:lang w:val="el-GR"/>
        </w:rPr>
        <w:t>Malz</w:t>
      </w:r>
      <w:proofErr w:type="spellEnd"/>
      <w:r w:rsidRPr="005B30C1">
        <w:rPr>
          <w:lang w:val="el-GR"/>
        </w:rPr>
        <w:t>, 2011).</w:t>
      </w:r>
    </w:p>
    <w:p w14:paraId="4F95ACE8" w14:textId="77777777" w:rsidR="00FC097F" w:rsidRPr="005B30C1" w:rsidRDefault="00FC097F" w:rsidP="00FC097F">
      <w:pPr>
        <w:pStyle w:val="af"/>
        <w:rPr>
          <w:lang w:val="el-GR"/>
        </w:rPr>
      </w:pPr>
      <w:r w:rsidRPr="005B30C1">
        <w:rPr>
          <w:lang w:val="el-GR"/>
        </w:rPr>
        <w:t xml:space="preserve">Οι βασικές κατηγορίες χρηματοοικονομικού κινδύνου είναι ο πιστωτικός κίνδυνος, ο λειτουργικός κίνδυνος και ο κίνδυνος αγοράς. Ο πιστωτικός κίνδυνος αφορά την πιθανότητα ένας αντισυμβαλλόμενος να μην εκπληρώσει τις υποχρεώσεις του. Για μια τράπεζα αυτό μπορεί να σημαίνει αθέτηση πληρωμής δανείου, αδυναμία εξόφλησης ομολόγου ή ζημία από παράγωγο συμβόλαιο λόγω αφερεγγυότητας του αντισυμβαλλομένου. Ο λειτουργικός κίνδυνος αφορά ζημίες που προκύπτουν από ανεπαρκείς εσωτερικές διαδικασίες, ανθρώπινα λάθη, </w:t>
      </w:r>
      <w:r w:rsidRPr="005B30C1">
        <w:rPr>
          <w:lang w:val="el-GR"/>
        </w:rPr>
        <w:lastRenderedPageBreak/>
        <w:t>απάτη, τεχνολογικές αποτυχίες ή εξωτερικά γεγονότα. Ο κίνδυνος αγοράς, στον οποίο εστιάζει η παρούσα εργασία, αφορά τις πιθανές ζημίες από μεταβολές σε τιμές αγοράς, όπως τιμές μετοχών, επιτόκια, συναλλαγματικές ισοτιμίες, τιμές εμπορευμάτων και μεταβλητότητα.</w:t>
      </w:r>
    </w:p>
    <w:p w14:paraId="3C1732D9" w14:textId="77777777" w:rsidR="00FC097F" w:rsidRPr="005B30C1" w:rsidRDefault="00FC097F" w:rsidP="00FC097F">
      <w:pPr>
        <w:pStyle w:val="af"/>
        <w:rPr>
          <w:lang w:val="el-GR"/>
        </w:rPr>
      </w:pPr>
      <w:r w:rsidRPr="005B30C1">
        <w:rPr>
          <w:lang w:val="el-GR"/>
        </w:rPr>
        <w:t xml:space="preserve">Η διάκριση αυτή είναι ουσιώδης, επειδή κάθε μορφή κινδύνου απαιτεί διαφορετικό τρόπο μέτρησης και ελέγχου. Ο πιστωτικός κίνδυνος συνδέεται με πιθανότητες αθέτησης και ποσοστά ανάκτησης. Ο λειτουργικός κίνδυνος απαιτεί ελέγχους διαδικασιών, εσωτερική διακυβέρνηση και ανάλυση συμβάντων. Ο κίνδυνος αγοράς, αντίθετα, συνδέεται άμεσα με τις καθημερινές μεταβολές των τιμών και με τη συμπεριφορά των χρηματοοικονομικών αποδόσεων. Για τον λόγο αυτό, η μέτρησή του βασίζεται συχνά σε στατιστικά εργαλεία, όπως η μεταβλητότητα, η συσχέτιση, η </w:t>
      </w:r>
      <w:r>
        <w:t>Value</w:t>
      </w:r>
      <w:r w:rsidRPr="005B30C1">
        <w:rPr>
          <w:lang w:val="el-GR"/>
        </w:rPr>
        <w:t xml:space="preserve"> </w:t>
      </w:r>
      <w:r>
        <w:t>at</w:t>
      </w:r>
      <w:r w:rsidRPr="005B30C1">
        <w:rPr>
          <w:lang w:val="el-GR"/>
        </w:rPr>
        <w:t xml:space="preserve"> </w:t>
      </w:r>
      <w:r>
        <w:t>Risk</w:t>
      </w:r>
      <w:r w:rsidRPr="005B30C1">
        <w:rPr>
          <w:lang w:val="el-GR"/>
        </w:rPr>
        <w:t xml:space="preserve"> και τα υποδείγματα δυναμικής διακύμανσης.</w:t>
      </w:r>
    </w:p>
    <w:p w14:paraId="61067E41" w14:textId="77777777" w:rsidR="00FC097F" w:rsidRPr="005B30C1" w:rsidRDefault="00FC097F" w:rsidP="00FC097F">
      <w:pPr>
        <w:pStyle w:val="af"/>
        <w:rPr>
          <w:lang w:val="el-GR"/>
        </w:rPr>
      </w:pPr>
      <w:r w:rsidRPr="005B30C1">
        <w:rPr>
          <w:lang w:val="el-GR"/>
        </w:rPr>
        <w:t xml:space="preserve">Η ανάγκη διαχείρισης χρηματοοικονομικού κινδύνου είναι ιδιαίτερα έντονη στα χρηματοπιστωτικά ιδρύματα. Οι τράπεζες λειτουργούν με υψηλή </w:t>
      </w:r>
      <w:proofErr w:type="spellStart"/>
      <w:r w:rsidRPr="005B30C1">
        <w:rPr>
          <w:lang w:val="el-GR"/>
        </w:rPr>
        <w:t>μόχλευση</w:t>
      </w:r>
      <w:proofErr w:type="spellEnd"/>
      <w:r w:rsidRPr="005B30C1">
        <w:rPr>
          <w:lang w:val="el-GR"/>
        </w:rPr>
        <w:t>, μετασχηματίζουν βραχυπρόθεσμες υποχρεώσεις σε μακροπρόθεσμα στοιχεία ενεργητικού και συνδέονται μεταξύ τους μέσω αγορών χρήματος, παραγώγων, διατραπεζικών συναλλαγών και συστημάτων πληρωμών. Επομένως, η αδυναμία μιας τράπεζας να ελέγξει τον κίνδυνο μπορεί να οδηγήσει όχι μόνο σε ζημία της ίδιας, αλλά και σε απώλεια εμπιστοσύνης στο σύστημα. Η προστασία των καταθετών, η διατήρηση επαρκών κεφαλαίων και η αποτροπή μετάδοσης κρίσεων είναι τρεις από τους βασικούς λόγους για τους οποίους η διαχείριση κινδύνου έχει αποκτήσει θεσμική και κανονιστική σημασία.</w:t>
      </w:r>
    </w:p>
    <w:p w14:paraId="51267222" w14:textId="77777777" w:rsidR="00FC097F" w:rsidRPr="005B30C1" w:rsidRDefault="00FC097F" w:rsidP="00FC097F">
      <w:pPr>
        <w:pStyle w:val="af"/>
        <w:rPr>
          <w:lang w:val="el-GR"/>
        </w:rPr>
      </w:pPr>
      <w:r w:rsidRPr="005B30C1">
        <w:rPr>
          <w:lang w:val="el-GR"/>
        </w:rPr>
        <w:t xml:space="preserve">Σε επίπεδο εταιρικής διακυβέρνησης, η διαχείριση κινδύνου συνδέεται επίσης με την έννοια του </w:t>
      </w:r>
      <w:r>
        <w:t>risk</w:t>
      </w:r>
      <w:r w:rsidRPr="005B30C1">
        <w:rPr>
          <w:lang w:val="el-GR"/>
        </w:rPr>
        <w:t xml:space="preserve"> </w:t>
      </w:r>
      <w:r>
        <w:t>appetite</w:t>
      </w:r>
      <w:r w:rsidRPr="005B30C1">
        <w:rPr>
          <w:lang w:val="el-GR"/>
        </w:rPr>
        <w:t xml:space="preserve">, δηλαδή με το επίπεδο κινδύνου που είναι διατεθειμένος να αναλάβει ένας οργανισμός για να επιτύχει τους στόχους του. Η ύπαρξη </w:t>
      </w:r>
      <w:r>
        <w:t>risk</w:t>
      </w:r>
      <w:r w:rsidRPr="005B30C1">
        <w:rPr>
          <w:lang w:val="el-GR"/>
        </w:rPr>
        <w:t xml:space="preserve"> </w:t>
      </w:r>
      <w:r>
        <w:t>appetite</w:t>
      </w:r>
      <w:r w:rsidRPr="005B30C1">
        <w:rPr>
          <w:lang w:val="el-GR"/>
        </w:rPr>
        <w:t xml:space="preserve"> δεν σημαίνει αποφυγή κάθε κινδύνου. Σημαίνει ότι η ανάληψη κινδύνου πρέπει να είναι συνειδητή, μετρήσιμη και συμβατή με τα κεφάλαια, τη ρευστότητα και τη στρατηγική του οργανισμού. Ιδίως σε τράπεζες και επενδυτικούς οργανισμούς, η διοίκηση δεν μπορεί να αξιολογεί τις επιδόσεις μόνο με βάση την απόδοση. Πρέπει να εξετάζει και την απόδοση σε σχέση με τον κίνδυνο που αναλήφθηκε για να επιτευχθεί αυτή η απόδοση. Ένα χαρτοφυλάκιο που εμφανίζει υψηλές αποδόσεις μπορεί να είναι προβληματικό αν οι αποδόσεις αυτές προκύπτουν από υπερβολική </w:t>
      </w:r>
      <w:proofErr w:type="spellStart"/>
      <w:r w:rsidRPr="005B30C1">
        <w:rPr>
          <w:lang w:val="el-GR"/>
        </w:rPr>
        <w:t>μόχλευση</w:t>
      </w:r>
      <w:proofErr w:type="spellEnd"/>
      <w:r w:rsidRPr="005B30C1">
        <w:rPr>
          <w:lang w:val="el-GR"/>
        </w:rPr>
        <w:t>, συγκέντρωση θέσεων ή ανεπαρκή αντιστάθμιση.</w:t>
      </w:r>
    </w:p>
    <w:p w14:paraId="4AF5591E" w14:textId="77777777" w:rsidR="00FC097F" w:rsidRPr="005B30C1" w:rsidRDefault="00FC097F" w:rsidP="00FC097F">
      <w:pPr>
        <w:pStyle w:val="af"/>
        <w:rPr>
          <w:lang w:val="el-GR"/>
        </w:rPr>
      </w:pPr>
      <w:r w:rsidRPr="005B30C1">
        <w:rPr>
          <w:lang w:val="el-GR"/>
        </w:rPr>
        <w:t xml:space="preserve">Η διαχείριση κινδύνου επομένως λειτουργεί ως μηχανισμός πειθαρχίας στη διαδικασία λήψης αποφάσεων. Ο ρόλος της δεν είναι να εμποδίζει κάθε επενδυτική ή εμπορική δραστηριότητα, </w:t>
      </w:r>
      <w:r w:rsidRPr="005B30C1">
        <w:rPr>
          <w:lang w:val="el-GR"/>
        </w:rPr>
        <w:lastRenderedPageBreak/>
        <w:t>αλλά να εξασφαλίζει ότι οι κίνδυνοι είναι κατανοητοί πριν αναληφθούν και ότι παρακολουθούνται μετά την ανάληψή τους. Αυτό έχει ιδιαίτερη σημασία για τον κίνδυνο αγοράς, επειδή οι τιμές των χρηματοοικονομικών μέσων μπορούν να μεταβληθούν άμεσα και έντονα. Σε αντίθεση με έναν πιστωτικό κίνδυνο που μπορεί να εκδηλωθεί σταδιακά, ο κίνδυνος αγοράς μπορεί να μεταφραστεί σε ζημία μέσα σε μία ημέρα συναλλαγών, ιδίως όταν η έκθεση αφορά παράγωγα ή μοχλευμένες θέσεις.</w:t>
      </w:r>
    </w:p>
    <w:p w14:paraId="4168BAC6" w14:textId="77777777" w:rsidR="00FC097F" w:rsidRPr="005B30C1" w:rsidRDefault="00FC097F" w:rsidP="00FC097F">
      <w:pPr>
        <w:pStyle w:val="af"/>
        <w:rPr>
          <w:lang w:val="el-GR"/>
        </w:rPr>
      </w:pPr>
      <w:r w:rsidRPr="005B30C1">
        <w:rPr>
          <w:lang w:val="el-GR"/>
        </w:rPr>
        <w:t xml:space="preserve">Η σύγχρονη πρακτική διαχείρισης κινδύνου στηρίζεται σε τρία επίπεδα. Το πρώτο είναι η αναγνώριση των πηγών κινδύνου: ποια στοιχεία ενεργητικού, ποια προϊόντα, ποιες αγορές ή ποιοι αντισυμβαλλόμενοι δημιουργούν έκθεση. Το δεύτερο είναι η ποσοτικοποίηση: με ποιο μέτρο αποτυπώνεται η πιθανή ζημία και με ποιο χρονικό ορίζοντα. Το τρίτο είναι η παρακολούθηση και η διοικητική αντίδραση: τι γίνεται όταν ο κίνδυνος υπερβαίνει τα όρια, ποιος ενημερώνεται και ποιος έχει την αρμοδιότητα να μειώσει την έκθεση. Η παρούσα εργασία εντάσσεται κυρίως στο δεύτερο και τρίτο επίπεδο, καθώς υπολογίζει τη </w:t>
      </w:r>
      <w:proofErr w:type="spellStart"/>
      <w:r>
        <w:t>VaR</w:t>
      </w:r>
      <w:proofErr w:type="spellEnd"/>
      <w:r w:rsidRPr="005B30C1">
        <w:rPr>
          <w:lang w:val="el-GR"/>
        </w:rPr>
        <w:t xml:space="preserve">, την αξιολογεί με </w:t>
      </w:r>
      <w:proofErr w:type="spellStart"/>
      <w:r>
        <w:t>backtesting</w:t>
      </w:r>
      <w:proofErr w:type="spellEnd"/>
      <w:r w:rsidRPr="005B30C1">
        <w:rPr>
          <w:lang w:val="el-GR"/>
        </w:rPr>
        <w:t xml:space="preserve"> και στη συνέχεια εξετάζει πώς μια απόφαση </w:t>
      </w:r>
      <w:r>
        <w:t>hedging</w:t>
      </w:r>
      <w:r w:rsidRPr="005B30C1">
        <w:rPr>
          <w:lang w:val="el-GR"/>
        </w:rPr>
        <w:t xml:space="preserve"> μπορεί να μεταβάλει το προφίλ κινδύνου του χαρτοφυλακίου.</w:t>
      </w:r>
    </w:p>
    <w:p w14:paraId="69D226D4" w14:textId="77777777" w:rsidR="00FC097F" w:rsidRPr="005B30C1" w:rsidRDefault="00FC097F" w:rsidP="00321E2E">
      <w:pPr>
        <w:pStyle w:val="21"/>
        <w:rPr>
          <w:lang w:val="el-GR"/>
        </w:rPr>
      </w:pPr>
      <w:bookmarkStart w:id="8" w:name="_Toc232171065"/>
      <w:bookmarkStart w:id="9" w:name="X8c77ab2ea83bdd85b48104d391a6ca9b167eb6f"/>
      <w:bookmarkEnd w:id="7"/>
      <w:r w:rsidRPr="005B30C1">
        <w:rPr>
          <w:rFonts w:eastAsia="Times New Roman"/>
          <w:lang w:val="el-GR"/>
        </w:rPr>
        <w:t>1.2 Ιστορική αναδρομή και διδάγματα από μεγάλες χρηματοοικονομικές αποτυχίες</w:t>
      </w:r>
      <w:bookmarkEnd w:id="8"/>
    </w:p>
    <w:p w14:paraId="3E28783F" w14:textId="77777777" w:rsidR="00FC097F" w:rsidRPr="005B30C1" w:rsidRDefault="00FC097F" w:rsidP="00FC097F">
      <w:pPr>
        <w:ind w:firstLine="357"/>
        <w:rPr>
          <w:lang w:val="el-GR"/>
        </w:rPr>
      </w:pPr>
      <w:r w:rsidRPr="005B30C1">
        <w:rPr>
          <w:lang w:val="el-GR"/>
        </w:rPr>
        <w:t xml:space="preserve">Η εξέλιξη της διαχείρισης κινδύνου δεν προήλθε μόνο από ακαδημαϊκή έρευνα. Σε μεγάλο βαθμό διαμορφώθηκε μέσα από κρίσεις, αποτυχίες και χρηματοοικονομικά σκάνδαλα που αποκάλυψαν τις αδυναμίες των οργανισμών να κατανοήσουν την πραγματική τους έκθεση. Οι περιπτώσεις αυτές έχουν ιδιαίτερη σημασία για την παρούσα εργασία, διότι δείχνουν ότι ο κίνδυνος αγοράς δεν είναι αφηρημένη έννοια. Είναι μια πραγματική πηγή ζημίας, η οποία μπορεί να γίνει καταστροφική όταν συνδυαστεί με </w:t>
      </w:r>
      <w:proofErr w:type="spellStart"/>
      <w:r w:rsidRPr="005B30C1">
        <w:rPr>
          <w:lang w:val="el-GR"/>
        </w:rPr>
        <w:t>μόχλευση</w:t>
      </w:r>
      <w:proofErr w:type="spellEnd"/>
      <w:r w:rsidRPr="005B30C1">
        <w:rPr>
          <w:lang w:val="el-GR"/>
        </w:rPr>
        <w:t>, ανεπαρκείς ελέγχους και εσφαλμένη εμπιστοσύνη σε μοντέλα.</w:t>
      </w:r>
    </w:p>
    <w:p w14:paraId="3199CB93" w14:textId="77777777" w:rsidR="00FC097F" w:rsidRPr="005B30C1" w:rsidRDefault="00FC097F" w:rsidP="00FC097F">
      <w:pPr>
        <w:pStyle w:val="af"/>
        <w:rPr>
          <w:lang w:val="el-GR"/>
        </w:rPr>
      </w:pPr>
      <w:r w:rsidRPr="005B30C1">
        <w:rPr>
          <w:lang w:val="el-GR"/>
        </w:rPr>
        <w:t xml:space="preserve">Ένα από τα πιο χαρακτηριστικά παραδείγματα είναι η κατάρρευση της </w:t>
      </w:r>
      <w:r>
        <w:t>Barings</w:t>
      </w:r>
      <w:r w:rsidRPr="005B30C1">
        <w:rPr>
          <w:lang w:val="el-GR"/>
        </w:rPr>
        <w:t xml:space="preserve"> </w:t>
      </w:r>
      <w:r>
        <w:t>Bank</w:t>
      </w:r>
      <w:r w:rsidRPr="005B30C1">
        <w:rPr>
          <w:lang w:val="el-GR"/>
        </w:rPr>
        <w:t xml:space="preserve"> το 1995. Η </w:t>
      </w:r>
      <w:r>
        <w:t>Barings</w:t>
      </w:r>
      <w:r w:rsidRPr="005B30C1">
        <w:rPr>
          <w:lang w:val="el-GR"/>
        </w:rPr>
        <w:t xml:space="preserve">, μία από τις </w:t>
      </w:r>
      <w:proofErr w:type="spellStart"/>
      <w:r w:rsidRPr="005B30C1">
        <w:rPr>
          <w:lang w:val="el-GR"/>
        </w:rPr>
        <w:t>ιστορικότερες</w:t>
      </w:r>
      <w:proofErr w:type="spellEnd"/>
      <w:r w:rsidRPr="005B30C1">
        <w:rPr>
          <w:lang w:val="el-GR"/>
        </w:rPr>
        <w:t xml:space="preserve"> βρετανικές τράπεζες, κατέρρευσε λόγω των ζημιών που δημιούργησε ο </w:t>
      </w:r>
      <w:r>
        <w:t>Nick</w:t>
      </w:r>
      <w:r w:rsidRPr="005B30C1">
        <w:rPr>
          <w:lang w:val="el-GR"/>
        </w:rPr>
        <w:t xml:space="preserve"> </w:t>
      </w:r>
      <w:r>
        <w:t>Leeson</w:t>
      </w:r>
      <w:r w:rsidRPr="005B30C1">
        <w:rPr>
          <w:lang w:val="el-GR"/>
        </w:rPr>
        <w:t xml:space="preserve"> από μη ελεγχόμενες συναλλαγές σε παράγωγα στη Σιγκαπούρη. Το κρίσιμο στοιχείο στην υπόθεση δεν ήταν μόνο το ύψος των ζημιών, αλλά η οργανωτική αποτυχία που επέτρεψε στον ίδιο άνθρωπο να έχει ταυτόχρονα ρόλο διαπραγμάτευσης και ελέγχου. Η απουσία λειτουργικού διαχωρισμού μεταξύ </w:t>
      </w:r>
      <w:r>
        <w:t>front</w:t>
      </w:r>
      <w:r w:rsidRPr="005B30C1">
        <w:rPr>
          <w:lang w:val="el-GR"/>
        </w:rPr>
        <w:t xml:space="preserve"> </w:t>
      </w:r>
      <w:r>
        <w:t>office</w:t>
      </w:r>
      <w:r w:rsidRPr="005B30C1">
        <w:rPr>
          <w:lang w:val="el-GR"/>
        </w:rPr>
        <w:t xml:space="preserve"> και </w:t>
      </w:r>
      <w:r>
        <w:t>back</w:t>
      </w:r>
      <w:r w:rsidRPr="005B30C1">
        <w:rPr>
          <w:lang w:val="el-GR"/>
        </w:rPr>
        <w:t xml:space="preserve"> </w:t>
      </w:r>
      <w:r>
        <w:t>office</w:t>
      </w:r>
      <w:r w:rsidRPr="005B30C1">
        <w:rPr>
          <w:lang w:val="el-GR"/>
        </w:rPr>
        <w:t xml:space="preserve"> επέτρεψε την απόκρυψη ζημιών και την υπέρβαση ορίων κινδύνου. Το δίδαγμα είναι σαφές: ακόμη και </w:t>
      </w:r>
      <w:r w:rsidRPr="005B30C1">
        <w:rPr>
          <w:lang w:val="el-GR"/>
        </w:rPr>
        <w:lastRenderedPageBreak/>
        <w:t>ένα ισχυρό χρηματοπιστωτικό ίδρυμα μπορεί να καταρρεύσει αν η διαχείριση κινδύνου δεν είναι ανεξάρτητη και αν οι μηχανισμοί ελέγχου δεν λειτουργούν ουσιαστικά.</w:t>
      </w:r>
    </w:p>
    <w:p w14:paraId="74239333" w14:textId="77777777" w:rsidR="00FC097F" w:rsidRPr="005B30C1" w:rsidRDefault="00FC097F" w:rsidP="00FC097F">
      <w:pPr>
        <w:pStyle w:val="af"/>
        <w:rPr>
          <w:lang w:val="el-GR"/>
        </w:rPr>
      </w:pPr>
      <w:r w:rsidRPr="005B30C1">
        <w:rPr>
          <w:lang w:val="el-GR"/>
        </w:rPr>
        <w:t xml:space="preserve">Η περίπτωση της </w:t>
      </w:r>
      <w:r>
        <w:t>Long</w:t>
      </w:r>
      <w:r w:rsidRPr="005B30C1">
        <w:rPr>
          <w:lang w:val="el-GR"/>
        </w:rPr>
        <w:t>-</w:t>
      </w:r>
      <w:r>
        <w:t>Term</w:t>
      </w:r>
      <w:r w:rsidRPr="005B30C1">
        <w:rPr>
          <w:lang w:val="el-GR"/>
        </w:rPr>
        <w:t xml:space="preserve"> </w:t>
      </w:r>
      <w:r>
        <w:t>Capital</w:t>
      </w:r>
      <w:r w:rsidRPr="005B30C1">
        <w:rPr>
          <w:lang w:val="el-GR"/>
        </w:rPr>
        <w:t xml:space="preserve"> </w:t>
      </w:r>
      <w:r>
        <w:t>Management</w:t>
      </w:r>
      <w:r w:rsidRPr="005B30C1">
        <w:rPr>
          <w:lang w:val="el-GR"/>
        </w:rPr>
        <w:t xml:space="preserve"> (</w:t>
      </w:r>
      <w:r>
        <w:t>LTCM</w:t>
      </w:r>
      <w:r w:rsidRPr="005B30C1">
        <w:rPr>
          <w:lang w:val="el-GR"/>
        </w:rPr>
        <w:t xml:space="preserve">) το 1998 ανέδειξε διαφορετική αλλά εξίσου σημαντική διάσταση. Η </w:t>
      </w:r>
      <w:r>
        <w:t>LTCM</w:t>
      </w:r>
      <w:r w:rsidRPr="005B30C1">
        <w:rPr>
          <w:lang w:val="el-GR"/>
        </w:rPr>
        <w:t xml:space="preserve"> ήταν </w:t>
      </w:r>
      <w:r>
        <w:t>hedge</w:t>
      </w:r>
      <w:r w:rsidRPr="005B30C1">
        <w:rPr>
          <w:lang w:val="el-GR"/>
        </w:rPr>
        <w:t xml:space="preserve"> </w:t>
      </w:r>
      <w:r>
        <w:t>fund</w:t>
      </w:r>
      <w:r w:rsidRPr="005B30C1">
        <w:rPr>
          <w:lang w:val="el-GR"/>
        </w:rPr>
        <w:t xml:space="preserve"> με εξαιρετικά σύνθετες στρατηγικές σχετικής αξίας και με στελέχη υψηλού ακαδημαϊκού κύρους. Το πρόβλημα δεν ήταν η έλλειψη μαθηματικών μοντέλων, αλλά η υπερβολική εμπιστοσύνη σε αυτά. Τα μοντέλα στηρίζονταν σε ιστορικές συσχετίσεις και στην υπόθεση ότι οι αποκλίσεις τιμών θα συγκλίνουν. Όταν όμως η ρωσική κρίση του 1998 προκάλεσε φυγή προς ασφαλή περιουσιακά στοιχεία και απότομη αλλαγή συσχετίσεων, οι ζημίες της </w:t>
      </w:r>
      <w:r>
        <w:t>LTCM</w:t>
      </w:r>
      <w:r w:rsidRPr="005B30C1">
        <w:rPr>
          <w:lang w:val="el-GR"/>
        </w:rPr>
        <w:t xml:space="preserve"> αυξήθηκαν με ταχύτητα. Η υψηλή </w:t>
      </w:r>
      <w:proofErr w:type="spellStart"/>
      <w:r w:rsidRPr="005B30C1">
        <w:rPr>
          <w:lang w:val="el-GR"/>
        </w:rPr>
        <w:t>μόχλευση</w:t>
      </w:r>
      <w:proofErr w:type="spellEnd"/>
      <w:r w:rsidRPr="005B30C1">
        <w:rPr>
          <w:lang w:val="el-GR"/>
        </w:rPr>
        <w:t xml:space="preserve"> μεγέθυνε το πρόβλημα και η πιθανότητα συστημικής μετάδοσης οδήγησε σε συντονισμένη παρέμβαση μεγάλων χρηματοπιστωτικών ιδρυμάτων. Το δίδαγμα της </w:t>
      </w:r>
      <w:r>
        <w:t>LTCM</w:t>
      </w:r>
      <w:r w:rsidRPr="005B30C1">
        <w:rPr>
          <w:lang w:val="el-GR"/>
        </w:rPr>
        <w:t xml:space="preserve"> είναι ότι τα ποσοτικά μοντέλα είναι χρήσιμα, αλλά δεν πρέπει να αντιμετωπίζονται ως μηχανισμοί πλήρους πρόβλεψης της πραγματικότητας.</w:t>
      </w:r>
    </w:p>
    <w:p w14:paraId="13D312B3" w14:textId="77777777" w:rsidR="00FC097F" w:rsidRPr="005B30C1" w:rsidRDefault="00FC097F" w:rsidP="00FC097F">
      <w:pPr>
        <w:pStyle w:val="af"/>
        <w:rPr>
          <w:lang w:val="el-GR"/>
        </w:rPr>
      </w:pPr>
      <w:r w:rsidRPr="005B30C1">
        <w:rPr>
          <w:lang w:val="el-GR"/>
        </w:rPr>
        <w:t xml:space="preserve">Η χρηματοοικονομική κρίση του 2007-2008 έδειξε με ακόμη πιο έντονο τρόπο ότι ο κίνδυνος δεν περιορίζεται σε μεμονωμένα χαρτοφυλάκια. Η κρίση ξεκίνησε από την αγορά στεγαστικών δανείων μειωμένης εξασφάλισης στις ΗΠΑ, αλλά μεταδόθηκε μέσω </w:t>
      </w:r>
      <w:proofErr w:type="spellStart"/>
      <w:r w:rsidRPr="005B30C1">
        <w:rPr>
          <w:lang w:val="el-GR"/>
        </w:rPr>
        <w:t>τιτλοποιήσεων</w:t>
      </w:r>
      <w:proofErr w:type="spellEnd"/>
      <w:r w:rsidRPr="005B30C1">
        <w:rPr>
          <w:lang w:val="el-GR"/>
        </w:rPr>
        <w:t xml:space="preserve">, δομημένων προϊόντων, αγορών χρηματοδότησης και διατραπεζικών σχέσεων. Οι οργανισμοί που βασίζονταν σε ιστορικά δεδομένα χαμηλής μεταβλητότητας και σε υψηλές πιστοληπτικές αξιολογήσεις υποτίμησαν τον συνδυασμό πιστωτικού κινδύνου, κινδύνου αγοράς και κινδύνου ρευστότητας. Η κρίση αποκάλυψε ότι τα παραδοσιακά μοντέλα </w:t>
      </w:r>
      <w:proofErr w:type="spellStart"/>
      <w:r>
        <w:t>VaR</w:t>
      </w:r>
      <w:proofErr w:type="spellEnd"/>
      <w:r w:rsidRPr="005B30C1">
        <w:rPr>
          <w:lang w:val="el-GR"/>
        </w:rPr>
        <w:t xml:space="preserve"> μπορούσαν να εμφανίζονται ικανοποιητικά σε ομαλές περιόδους, αλλά να αποτυγχάνουν όταν οι αγορές εισέρχονταν σε καθεστώς ακραίας μεταβλητότητας.</w:t>
      </w:r>
    </w:p>
    <w:p w14:paraId="23812A95" w14:textId="77777777" w:rsidR="00FC097F" w:rsidRPr="005B30C1" w:rsidRDefault="00FC097F" w:rsidP="00FC097F">
      <w:pPr>
        <w:pStyle w:val="af"/>
        <w:rPr>
          <w:lang w:val="el-GR"/>
        </w:rPr>
      </w:pPr>
      <w:r w:rsidRPr="005B30C1">
        <w:rPr>
          <w:lang w:val="el-GR"/>
        </w:rPr>
        <w:t xml:space="preserve">Από τα παραπάνω γεγονότα προκύπτει ένα κοινό συμπέρασμα. Η διαχείριση κινδύνου δεν είναι απλώς θέμα υπολογισμού ενός αριθμού. Είναι θέμα κουλτούρας, διακυβέρνησης, ανεξαρτησίας, ελέγχου και συνεχούς αμφισβήτησης των υποθέσεων. Τα μοντέλα όπως η </w:t>
      </w:r>
      <w:r>
        <w:t>Value</w:t>
      </w:r>
      <w:r w:rsidRPr="005B30C1">
        <w:rPr>
          <w:lang w:val="el-GR"/>
        </w:rPr>
        <w:t xml:space="preserve"> </w:t>
      </w:r>
      <w:r>
        <w:t>at</w:t>
      </w:r>
      <w:r w:rsidRPr="005B30C1">
        <w:rPr>
          <w:lang w:val="el-GR"/>
        </w:rPr>
        <w:t xml:space="preserve"> </w:t>
      </w:r>
      <w:r>
        <w:t>Risk</w:t>
      </w:r>
      <w:r w:rsidRPr="005B30C1">
        <w:rPr>
          <w:lang w:val="el-GR"/>
        </w:rPr>
        <w:t xml:space="preserve"> έχουν μεγάλη πρακτική αξία, επειδή συμπυκνώνουν τον κίνδυνο σε ένα κατανοητό μέγεθος. Όμως, η αξία τους εξαρτάται από τον τρόπο εφαρμογής, από την ποιότητα των δεδομένων, από το </w:t>
      </w:r>
      <w:proofErr w:type="spellStart"/>
      <w:r>
        <w:t>backtesting</w:t>
      </w:r>
      <w:proofErr w:type="spellEnd"/>
      <w:r w:rsidRPr="005B30C1">
        <w:rPr>
          <w:lang w:val="el-GR"/>
        </w:rPr>
        <w:t xml:space="preserve"> και από το αν ο οργανισμός αναγνωρίζει τους περιορισμούς τους.</w:t>
      </w:r>
    </w:p>
    <w:p w14:paraId="2D4B4988" w14:textId="77777777" w:rsidR="00FC097F" w:rsidRPr="005B30C1" w:rsidRDefault="00FC097F" w:rsidP="00FC097F">
      <w:pPr>
        <w:pStyle w:val="af"/>
        <w:rPr>
          <w:lang w:val="el-GR"/>
        </w:rPr>
      </w:pPr>
      <w:r w:rsidRPr="005B30C1">
        <w:rPr>
          <w:lang w:val="el-GR"/>
        </w:rPr>
        <w:t xml:space="preserve">Στην περίπτωση της </w:t>
      </w:r>
      <w:r>
        <w:t>Barings</w:t>
      </w:r>
      <w:r w:rsidRPr="005B30C1">
        <w:rPr>
          <w:lang w:val="el-GR"/>
        </w:rPr>
        <w:t xml:space="preserve"> </w:t>
      </w:r>
      <w:r>
        <w:t>Bank</w:t>
      </w:r>
      <w:r w:rsidRPr="005B30C1">
        <w:rPr>
          <w:lang w:val="el-GR"/>
        </w:rPr>
        <w:t xml:space="preserve">, το θεμελιώδες πρόβλημα ήταν ότι η ζημία δεν δημιουργήθηκε ξαφνικά και απρόβλεπτα. Δημιουργήθηκε σταδιακά, αλλά το σύστημα </w:t>
      </w:r>
      <w:r w:rsidRPr="005B30C1">
        <w:rPr>
          <w:lang w:val="el-GR"/>
        </w:rPr>
        <w:lastRenderedPageBreak/>
        <w:t xml:space="preserve">εσωτερικού ελέγχου δεν τη σταμάτησε. Αυτό είναι ιδιαίτερα κρίσιμο για την παρούσα εργασία, διότι δείχνει ότι η τεχνική γνώση των παραγώγων δεν επαρκεί. Ο οργανισμός πρέπει να γνωρίζει ποιος ανοίγει θέσεις, ποιος τις συμφωνεί, ποιος τις αποτιμά και ποιος ελέγχει αν αυτές οι θέσεις είναι εντός εγκεκριμένων ορίων. Η απουσία αυτών των διαχωρισμών μπορεί να μετατρέψει μια </w:t>
      </w:r>
      <w:proofErr w:type="spellStart"/>
      <w:r w:rsidRPr="005B30C1">
        <w:rPr>
          <w:lang w:val="el-GR"/>
        </w:rPr>
        <w:t>διαχειρίσιμη</w:t>
      </w:r>
      <w:proofErr w:type="spellEnd"/>
      <w:r w:rsidRPr="005B30C1">
        <w:rPr>
          <w:lang w:val="el-GR"/>
        </w:rPr>
        <w:t xml:space="preserve"> ζημία σε υπαρξιακό κίνδυνο για ολόκληρο τον οργανισμό. Για αυτόν τον λόγο, ο λειτουργικός διαχωρισμός μεταξύ </w:t>
      </w:r>
      <w:r>
        <w:t>risk</w:t>
      </w:r>
      <w:r w:rsidRPr="005B30C1">
        <w:rPr>
          <w:lang w:val="el-GR"/>
        </w:rPr>
        <w:t xml:space="preserve"> </w:t>
      </w:r>
      <w:r>
        <w:t>management</w:t>
      </w:r>
      <w:r w:rsidRPr="005B30C1">
        <w:rPr>
          <w:lang w:val="el-GR"/>
        </w:rPr>
        <w:t xml:space="preserve"> και </w:t>
      </w:r>
      <w:r>
        <w:t>trading</w:t>
      </w:r>
      <w:r w:rsidRPr="005B30C1">
        <w:rPr>
          <w:lang w:val="el-GR"/>
        </w:rPr>
        <w:t xml:space="preserve"> δεν είναι τυπικό οργανωτικό ζήτημα, αλλά βασικό στοιχείο επιβίωσης.</w:t>
      </w:r>
    </w:p>
    <w:p w14:paraId="3C50B11C" w14:textId="77777777" w:rsidR="00FC097F" w:rsidRPr="005B30C1" w:rsidRDefault="00FC097F" w:rsidP="00FC097F">
      <w:pPr>
        <w:pStyle w:val="af"/>
        <w:rPr>
          <w:lang w:val="el-GR"/>
        </w:rPr>
      </w:pPr>
      <w:r w:rsidRPr="005B30C1">
        <w:rPr>
          <w:lang w:val="el-GR"/>
        </w:rPr>
        <w:t xml:space="preserve">Η </w:t>
      </w:r>
      <w:r>
        <w:t>LTCM</w:t>
      </w:r>
      <w:r w:rsidRPr="005B30C1">
        <w:rPr>
          <w:lang w:val="el-GR"/>
        </w:rPr>
        <w:t xml:space="preserve">, αντίθετα, υπενθυμίζει τον κίνδυνο της υπερβολικής εμπιστοσύνης στην κανονικότητα και στις ιστορικές συσχετίσεις. Πολλά μοντέλα κινδύνου υποθέτουν, ρητά ή έμμεσα, ότι το μέλλον θα μοιάζει σε κάποιο βαθμό με το παρελθόν. Όταν όμως οι αγορές εισέρχονται σε καθεστώς κρίσης, οι συσχετίσεις μεταξύ τίτλων μπορούν να αυξηθούν απότομα, η ρευστότητα να εξαφανιστεί και οι αποκλίσεις που θεωρούνται προσωρινές να γίνουν μόνιμες για αρκετό διάστημα. Το δίδαγμα είναι ότι η ποσοτική μέτρηση πρέπει να συνοδεύεται από κρίση, </w:t>
      </w:r>
      <w:r>
        <w:t>stress</w:t>
      </w:r>
      <w:r w:rsidRPr="005B30C1">
        <w:rPr>
          <w:lang w:val="el-GR"/>
        </w:rPr>
        <w:t xml:space="preserve"> </w:t>
      </w:r>
      <w:r>
        <w:t>testing</w:t>
      </w:r>
      <w:r w:rsidRPr="005B30C1">
        <w:rPr>
          <w:lang w:val="el-GR"/>
        </w:rPr>
        <w:t xml:space="preserve"> και κατανόηση των συνθηκών αγοράς. Η </w:t>
      </w:r>
      <w:proofErr w:type="spellStart"/>
      <w:r>
        <w:t>VaR</w:t>
      </w:r>
      <w:proofErr w:type="spellEnd"/>
      <w:r w:rsidRPr="005B30C1">
        <w:rPr>
          <w:lang w:val="el-GR"/>
        </w:rPr>
        <w:t xml:space="preserve"> μπορεί να απαντήσει στο ερώτημα «ποια ζημία αναμένουμε με δεδομένο το ιστορικό δείγμα και το μοντέλο», αλλά δεν απαντά πλήρως στο ερώτημα «τι θα συμβεί αν οι σχέσεις της αγοράς αλλάξουν βίαια».</w:t>
      </w:r>
    </w:p>
    <w:p w14:paraId="7EA75CAE" w14:textId="77777777" w:rsidR="00FC097F" w:rsidRPr="005B30C1" w:rsidRDefault="00FC097F" w:rsidP="00FC097F">
      <w:pPr>
        <w:pStyle w:val="af"/>
        <w:rPr>
          <w:lang w:val="el-GR"/>
        </w:rPr>
      </w:pPr>
      <w:r w:rsidRPr="005B30C1">
        <w:rPr>
          <w:lang w:val="el-GR"/>
        </w:rPr>
        <w:t xml:space="preserve">Η κρίση του 2008 πρόσθεσε ακόμη μία διάσταση: τη σύνδεση μεταξύ κινδύνου αγοράς, πιστωτικού κινδύνου και κινδύνου ρευστότητας. Πριν από την κρίση, πολλά χαρτοφυλάκια δομημένων προϊόντων εμφανίζονταν ασφαλή με βάση τις αξιολογήσεις και τα ιστορικά δεδομένα. Όταν όμως οι τιμές των στεγαστικών τίτλων άρχισαν να υποχωρούν, η πτώση τιμών μετέτρεψε τον πιστωτικό κίνδυνο σε κίνδυνο αγοράς, ενώ η αδυναμία πώλησης των τίτλων σε λογικές τιμές δημιούργησε κίνδυνο ρευστότητας. Αυτό δείχνει ότι οι κατηγορίες κινδύνου είναι χρήσιμες αναλυτικά, αλλά στην πράξη </w:t>
      </w:r>
      <w:proofErr w:type="spellStart"/>
      <w:r w:rsidRPr="005B30C1">
        <w:rPr>
          <w:lang w:val="el-GR"/>
        </w:rPr>
        <w:t>αλληλεπιδρούν</w:t>
      </w:r>
      <w:proofErr w:type="spellEnd"/>
      <w:r w:rsidRPr="005B30C1">
        <w:rPr>
          <w:lang w:val="el-GR"/>
        </w:rPr>
        <w:t xml:space="preserve">. Για έναν </w:t>
      </w:r>
      <w:r>
        <w:t>risk</w:t>
      </w:r>
      <w:r w:rsidRPr="005B30C1">
        <w:rPr>
          <w:lang w:val="el-GR"/>
        </w:rPr>
        <w:t xml:space="preserve"> </w:t>
      </w:r>
      <w:r>
        <w:t>manager</w:t>
      </w:r>
      <w:r w:rsidRPr="005B30C1">
        <w:rPr>
          <w:lang w:val="el-GR"/>
        </w:rPr>
        <w:t>, το σημαντικό δεν είναι απλώς να ταξινομήσει τον κίνδυνο, αλλά να καταλάβει πώς μπορεί να μεταδοθεί από τη μία μορφή στην άλλη.</w:t>
      </w:r>
    </w:p>
    <w:p w14:paraId="759B736C" w14:textId="77777777" w:rsidR="00FC097F" w:rsidRPr="005B30C1" w:rsidRDefault="00FC097F" w:rsidP="00FC097F">
      <w:pPr>
        <w:pStyle w:val="af"/>
        <w:rPr>
          <w:lang w:val="el-GR"/>
        </w:rPr>
      </w:pPr>
      <w:r w:rsidRPr="005B30C1">
        <w:rPr>
          <w:lang w:val="el-GR"/>
        </w:rPr>
        <w:t xml:space="preserve">Οι παραπάνω περιπτώσεις εξηγούν γιατί η διαχείριση κινδύνου εξελίχθηκε από τεχνική υποστηρικτική λειτουργία σε βασικό πυλώνα διοίκησης και εποπτείας. Κάθε κρίση οδήγησε σε νέες απαιτήσεις: καλύτερα όρια, ανεξάρτητες μονάδες κινδύνου, αυστηρότερα </w:t>
      </w:r>
      <w:r>
        <w:t>stress</w:t>
      </w:r>
      <w:r w:rsidRPr="005B30C1">
        <w:rPr>
          <w:lang w:val="el-GR"/>
        </w:rPr>
        <w:t xml:space="preserve"> </w:t>
      </w:r>
      <w:r>
        <w:t>tests</w:t>
      </w:r>
      <w:r w:rsidRPr="005B30C1">
        <w:rPr>
          <w:lang w:val="el-GR"/>
        </w:rPr>
        <w:t xml:space="preserve">, περισσότερες δημοσιοποιήσεις και ισχυρότερη κεφαλαιακή βάση. Έτσι, η ιστορική αναδρομή δεν αποτελεί απλή αφήγηση γεγονότων, αλλά θεμελιώνει τη λογική της παρούσας εμπειρικής ανάλυσης: πρώτα μετράμε τον κίνδυνο, μετά ελέγχουμε αν το μέτρο λειτουργεί και τελικά εξετάζουμε αν μια διαχειριστική ενέργεια, όπως το </w:t>
      </w:r>
      <w:r>
        <w:t>hedging</w:t>
      </w:r>
      <w:r w:rsidRPr="005B30C1">
        <w:rPr>
          <w:lang w:val="el-GR"/>
        </w:rPr>
        <w:t>, βελτιώνει πραγματικά την εικόνα.</w:t>
      </w:r>
    </w:p>
    <w:p w14:paraId="67A7EBF2" w14:textId="77777777" w:rsidR="00FC097F" w:rsidRPr="005B30C1" w:rsidRDefault="00FC097F" w:rsidP="00321E2E">
      <w:pPr>
        <w:pStyle w:val="21"/>
        <w:rPr>
          <w:lang w:val="el-GR"/>
        </w:rPr>
      </w:pPr>
      <w:bookmarkStart w:id="10" w:name="_Toc232171066"/>
      <w:bookmarkStart w:id="11" w:name="X2ebe8c292fadae2f86d5d0e2f9c91d56adb0a41"/>
      <w:bookmarkEnd w:id="9"/>
      <w:r w:rsidRPr="005B30C1">
        <w:rPr>
          <w:rFonts w:eastAsia="Times New Roman"/>
          <w:lang w:val="el-GR"/>
        </w:rPr>
        <w:lastRenderedPageBreak/>
        <w:t>1.3 Το κανονιστικό πλαίσιο και οι συστάσεις της Βασιλείας</w:t>
      </w:r>
      <w:bookmarkEnd w:id="10"/>
    </w:p>
    <w:p w14:paraId="30138A8B" w14:textId="77777777" w:rsidR="00FC097F" w:rsidRPr="005B30C1" w:rsidRDefault="00FC097F" w:rsidP="00FC097F">
      <w:pPr>
        <w:ind w:firstLine="357"/>
        <w:rPr>
          <w:lang w:val="el-GR"/>
        </w:rPr>
      </w:pPr>
      <w:r w:rsidRPr="005B30C1">
        <w:rPr>
          <w:lang w:val="el-GR"/>
        </w:rPr>
        <w:t>Η συστηματική ανάπτυξη των κανονιστικών πλαισίων για τις τράπεζες συνδέεται άμεσα με την ανάγκη προστασίας της σταθερότητας του χρηματοπιστωτικού συστήματος. Η Επιτροπή της Βασιλείας για την Τραπεζική Εποπτεία (</w:t>
      </w:r>
      <w:r>
        <w:t>Basel</w:t>
      </w:r>
      <w:r w:rsidRPr="005B30C1">
        <w:rPr>
          <w:lang w:val="el-GR"/>
        </w:rPr>
        <w:t xml:space="preserve"> </w:t>
      </w:r>
      <w:r>
        <w:t>Committee</w:t>
      </w:r>
      <w:r w:rsidRPr="005B30C1">
        <w:rPr>
          <w:lang w:val="el-GR"/>
        </w:rPr>
        <w:t xml:space="preserve"> </w:t>
      </w:r>
      <w:r>
        <w:t>on</w:t>
      </w:r>
      <w:r w:rsidRPr="005B30C1">
        <w:rPr>
          <w:lang w:val="el-GR"/>
        </w:rPr>
        <w:t xml:space="preserve"> </w:t>
      </w:r>
      <w:r>
        <w:t>Banking</w:t>
      </w:r>
      <w:r w:rsidRPr="005B30C1">
        <w:rPr>
          <w:lang w:val="el-GR"/>
        </w:rPr>
        <w:t xml:space="preserve"> </w:t>
      </w:r>
      <w:r>
        <w:t>Supervision</w:t>
      </w:r>
      <w:r w:rsidRPr="005B30C1">
        <w:rPr>
          <w:lang w:val="el-GR"/>
        </w:rPr>
        <w:t xml:space="preserve"> – </w:t>
      </w:r>
      <w:r>
        <w:t>BCBS</w:t>
      </w:r>
      <w:r w:rsidRPr="005B30C1">
        <w:rPr>
          <w:lang w:val="el-GR"/>
        </w:rPr>
        <w:t>) έχει διαδραματίσει κεντρικό ρόλο στη διαμόρφωση κοινών αρχών για την κεφαλαιακή επάρκεια, τη διαχείριση κινδύνων και την εποπτική αξιολόγηση. Η βασική ιδέα είναι ότι οι τράπεζες πρέπει να διαθέτουν επαρκή ίδια κεφάλαια σε σχέση με τους κινδύνους που αναλαμβάνουν, ώστε να μπορούν να απορροφήσουν ζημίες χωρίς να θέτουν σε κίνδυνο τους καταθέτες και τη σταθερότητα του συστήματος.</w:t>
      </w:r>
    </w:p>
    <w:p w14:paraId="78B6B1FC" w14:textId="77777777" w:rsidR="00FC097F" w:rsidRPr="005B30C1" w:rsidRDefault="00FC097F" w:rsidP="00FC097F">
      <w:pPr>
        <w:pStyle w:val="af"/>
        <w:rPr>
          <w:lang w:val="el-GR"/>
        </w:rPr>
      </w:pPr>
      <w:r w:rsidRPr="005B30C1">
        <w:rPr>
          <w:lang w:val="el-GR"/>
        </w:rPr>
        <w:t xml:space="preserve">Η </w:t>
      </w:r>
      <w:r>
        <w:t>Basel</w:t>
      </w:r>
      <w:r w:rsidRPr="005B30C1">
        <w:rPr>
          <w:lang w:val="el-GR"/>
        </w:rPr>
        <w:t xml:space="preserve"> </w:t>
      </w:r>
      <w:r>
        <w:t>I</w:t>
      </w:r>
      <w:r w:rsidRPr="005B30C1">
        <w:rPr>
          <w:lang w:val="el-GR"/>
        </w:rPr>
        <w:t>, που θεσπίστηκε το 1988, έδωσε το πρώτο διεθνώς αποδεκτό πλαίσιο κεφαλαιακής επάρκειας με έμφαση κυρίως στον πιστωτικό κίνδυνο. Το πλαίσιο αυτό ήταν σημαντικό, αλλά σχετικά απλό. Δεν αποτύπωνε επαρκώς τις πιο σύνθετες μορφές κινδύνου που ανέκυπταν από την ανάπτυξη των αγορών παραγώγων, των χαρτοφυλακίων συναλλαγών (</w:t>
      </w:r>
      <w:r>
        <w:t>trading</w:t>
      </w:r>
      <w:r w:rsidRPr="005B30C1">
        <w:rPr>
          <w:lang w:val="el-GR"/>
        </w:rPr>
        <w:t xml:space="preserve"> </w:t>
      </w:r>
      <w:r>
        <w:t>books</w:t>
      </w:r>
      <w:r w:rsidRPr="005B30C1">
        <w:rPr>
          <w:lang w:val="el-GR"/>
        </w:rPr>
        <w:t>) και των διεθνών κεφαλαιαγορών. Η αύξηση των συναλλαγών σε μετοχές, ομόλογα, συνάλλαγμα και παράγωγα ανέδειξε την ανάγκη ξεχωριστής αντιμετώπισης του κινδύνου αγοράς (</w:t>
      </w:r>
      <w:proofErr w:type="spellStart"/>
      <w:r w:rsidRPr="005B30C1">
        <w:rPr>
          <w:lang w:val="el-GR"/>
        </w:rPr>
        <w:t>Basel</w:t>
      </w:r>
      <w:proofErr w:type="spellEnd"/>
      <w:r w:rsidRPr="005B30C1">
        <w:rPr>
          <w:lang w:val="el-GR"/>
        </w:rPr>
        <w:t xml:space="preserve"> Committee on </w:t>
      </w:r>
      <w:proofErr w:type="spellStart"/>
      <w:r w:rsidRPr="005B30C1">
        <w:rPr>
          <w:lang w:val="el-GR"/>
        </w:rPr>
        <w:t>Banking</w:t>
      </w:r>
      <w:proofErr w:type="spellEnd"/>
      <w:r w:rsidRPr="005B30C1">
        <w:rPr>
          <w:lang w:val="el-GR"/>
        </w:rPr>
        <w:t xml:space="preserve"> </w:t>
      </w:r>
      <w:proofErr w:type="spellStart"/>
      <w:r w:rsidRPr="005B30C1">
        <w:rPr>
          <w:lang w:val="el-GR"/>
        </w:rPr>
        <w:t>Supervision</w:t>
      </w:r>
      <w:proofErr w:type="spellEnd"/>
      <w:r w:rsidRPr="005B30C1">
        <w:rPr>
          <w:lang w:val="el-GR"/>
        </w:rPr>
        <w:t>, 1988).</w:t>
      </w:r>
    </w:p>
    <w:p w14:paraId="13D7194B" w14:textId="77777777" w:rsidR="00FC097F" w:rsidRPr="005B30C1" w:rsidRDefault="00FC097F" w:rsidP="00FC097F">
      <w:pPr>
        <w:pStyle w:val="af"/>
        <w:rPr>
          <w:lang w:val="el-GR"/>
        </w:rPr>
      </w:pPr>
      <w:r w:rsidRPr="005B30C1">
        <w:rPr>
          <w:lang w:val="el-GR"/>
        </w:rPr>
        <w:t xml:space="preserve">Η καθοριστική εξέλιξη ήρθε με την τροποποίηση του 1996 για τον κίνδυνο αγοράς, η οποία επέτρεψε στις τράπεζες, υπό προϋποθέσεις, να χρησιμοποιούν εσωτερικά μοντέλα </w:t>
      </w:r>
      <w:r>
        <w:t>Value</w:t>
      </w:r>
      <w:r w:rsidRPr="005B30C1">
        <w:rPr>
          <w:lang w:val="el-GR"/>
        </w:rPr>
        <w:t xml:space="preserve"> </w:t>
      </w:r>
      <w:r>
        <w:t>at</w:t>
      </w:r>
      <w:r w:rsidRPr="005B30C1">
        <w:rPr>
          <w:lang w:val="el-GR"/>
        </w:rPr>
        <w:t xml:space="preserve"> </w:t>
      </w:r>
      <w:r>
        <w:t>Risk</w:t>
      </w:r>
      <w:r w:rsidRPr="005B30C1">
        <w:rPr>
          <w:lang w:val="el-GR"/>
        </w:rPr>
        <w:t xml:space="preserve"> για τον υπολογισμό των κεφαλαιακών απαιτήσεων του χαρτοφυλακίου συναλλαγών. Η εισαγωγή της </w:t>
      </w:r>
      <w:proofErr w:type="spellStart"/>
      <w:r>
        <w:t>VaR</w:t>
      </w:r>
      <w:proofErr w:type="spellEnd"/>
      <w:r w:rsidRPr="005B30C1">
        <w:rPr>
          <w:lang w:val="el-GR"/>
        </w:rPr>
        <w:t xml:space="preserve"> στο κανονιστικό πλαίσιο είχε μεγάλη σημασία, επειδή συνέδεσε την ποσοτική μέτρηση κινδύνου με το απαιτούμενο εποπτικό κεφάλαιο. Στην πράξη, η </w:t>
      </w:r>
      <w:proofErr w:type="spellStart"/>
      <w:r>
        <w:t>VaR</w:t>
      </w:r>
      <w:proofErr w:type="spellEnd"/>
      <w:r w:rsidRPr="005B30C1">
        <w:rPr>
          <w:lang w:val="el-GR"/>
        </w:rPr>
        <w:t xml:space="preserve"> έγινε το κυρίαρχο εργαλείο μέτρησης του κινδύνου αγοράς, όχι μόνο για εσωτερική πληροφόρηση, αλλά και για εποπτικούς σκοπούς (</w:t>
      </w:r>
      <w:proofErr w:type="spellStart"/>
      <w:r w:rsidRPr="005B30C1">
        <w:rPr>
          <w:lang w:val="el-GR"/>
        </w:rPr>
        <w:t>Basel</w:t>
      </w:r>
      <w:proofErr w:type="spellEnd"/>
      <w:r w:rsidRPr="005B30C1">
        <w:rPr>
          <w:lang w:val="el-GR"/>
        </w:rPr>
        <w:t xml:space="preserve"> Committee on </w:t>
      </w:r>
      <w:proofErr w:type="spellStart"/>
      <w:r w:rsidRPr="005B30C1">
        <w:rPr>
          <w:lang w:val="el-GR"/>
        </w:rPr>
        <w:t>Banking</w:t>
      </w:r>
      <w:proofErr w:type="spellEnd"/>
      <w:r w:rsidRPr="005B30C1">
        <w:rPr>
          <w:lang w:val="el-GR"/>
        </w:rPr>
        <w:t xml:space="preserve"> </w:t>
      </w:r>
      <w:proofErr w:type="spellStart"/>
      <w:r w:rsidRPr="005B30C1">
        <w:rPr>
          <w:lang w:val="el-GR"/>
        </w:rPr>
        <w:t>Supervision</w:t>
      </w:r>
      <w:proofErr w:type="spellEnd"/>
      <w:r w:rsidRPr="005B30C1">
        <w:rPr>
          <w:lang w:val="el-GR"/>
        </w:rPr>
        <w:t>, 1996).</w:t>
      </w:r>
    </w:p>
    <w:p w14:paraId="3DF218C1" w14:textId="77777777" w:rsidR="00FC097F" w:rsidRPr="005B30C1" w:rsidRDefault="00FC097F" w:rsidP="00FC097F">
      <w:pPr>
        <w:pStyle w:val="af"/>
        <w:rPr>
          <w:lang w:val="el-GR"/>
        </w:rPr>
      </w:pPr>
      <w:r w:rsidRPr="00FC097F">
        <w:rPr>
          <w:lang w:val="el-GR"/>
        </w:rPr>
        <w:t xml:space="preserve">Η </w:t>
      </w:r>
      <w:r>
        <w:t>Basel</w:t>
      </w:r>
      <w:r w:rsidRPr="00FC097F">
        <w:rPr>
          <w:lang w:val="el-GR"/>
        </w:rPr>
        <w:t xml:space="preserve"> </w:t>
      </w:r>
      <w:r>
        <w:t>II</w:t>
      </w:r>
      <w:r w:rsidRPr="00FC097F">
        <w:rPr>
          <w:lang w:val="el-GR"/>
        </w:rPr>
        <w:t xml:space="preserve"> διεύρυνε και συστηματοποίησε το πλαίσιο, εισάγοντας τη λογική των τριών πυλώνων: ελάχιστες κεφαλαιακές απαιτήσεις, εποπτική αξιολόγηση και πειθαρχία της αγοράς μέσω δημοσιοποιήσεων. Στο πλαίσιο αυτό, η διαχείριση κινδύνου δεν αντιμετωπίστηκε πλέον ως απλός υπολογισμός κεφαλαίου, αλλά ως ολοκληρωμένη διαδικασία εσωτερικής διακυβέρνησης. Η απαίτηση για </w:t>
      </w:r>
      <w:proofErr w:type="spellStart"/>
      <w:r>
        <w:t>backtesting</w:t>
      </w:r>
      <w:proofErr w:type="spellEnd"/>
      <w:r w:rsidRPr="00FC097F">
        <w:rPr>
          <w:lang w:val="el-GR"/>
        </w:rPr>
        <w:t xml:space="preserve"> των εσωτερικών μοντέλων </w:t>
      </w:r>
      <w:proofErr w:type="spellStart"/>
      <w:r>
        <w:t>VaR</w:t>
      </w:r>
      <w:proofErr w:type="spellEnd"/>
      <w:r w:rsidRPr="00FC097F">
        <w:rPr>
          <w:lang w:val="el-GR"/>
        </w:rPr>
        <w:t xml:space="preserve"> αποτέλεσε βασικό μηχανισμό ελέγχου της αξιοπιστίας τους. Αν ένα μοντέλο εμφανίζει συστηματικά περισσότερες εξαιρέσεις από όσες προβλέπει το επίπεδο εμπιστοσύνης του, τότε η εποπτική αρχή μπορεί να </w:t>
      </w:r>
      <w:r w:rsidRPr="00FC097F">
        <w:rPr>
          <w:lang w:val="el-GR"/>
        </w:rPr>
        <w:lastRenderedPageBreak/>
        <w:t>θεωρήσει ότι υποεκτιμά τον κίνδυνο (</w:t>
      </w:r>
      <w:r>
        <w:t>Basel</w:t>
      </w:r>
      <w:r w:rsidRPr="00FC097F">
        <w:rPr>
          <w:lang w:val="el-GR"/>
        </w:rPr>
        <w:t xml:space="preserve"> </w:t>
      </w:r>
      <w:r>
        <w:t>Committee</w:t>
      </w:r>
      <w:r w:rsidRPr="00FC097F">
        <w:rPr>
          <w:lang w:val="el-GR"/>
        </w:rPr>
        <w:t xml:space="preserve"> </w:t>
      </w:r>
      <w:r>
        <w:t>on</w:t>
      </w:r>
      <w:r w:rsidRPr="00FC097F">
        <w:rPr>
          <w:lang w:val="el-GR"/>
        </w:rPr>
        <w:t xml:space="preserve"> </w:t>
      </w:r>
      <w:r>
        <w:t>Banking</w:t>
      </w:r>
      <w:r w:rsidRPr="00FC097F">
        <w:rPr>
          <w:lang w:val="el-GR"/>
        </w:rPr>
        <w:t xml:space="preserve"> </w:t>
      </w:r>
      <w:r>
        <w:t>Supervision</w:t>
      </w:r>
      <w:r w:rsidRPr="00FC097F">
        <w:rPr>
          <w:lang w:val="el-GR"/>
        </w:rPr>
        <w:t>, 2006) (</w:t>
      </w:r>
      <w:r>
        <w:t>Basel</w:t>
      </w:r>
      <w:r w:rsidRPr="00FC097F">
        <w:rPr>
          <w:lang w:val="el-GR"/>
        </w:rPr>
        <w:t xml:space="preserve"> </w:t>
      </w:r>
      <w:r>
        <w:t>Committee</w:t>
      </w:r>
      <w:r w:rsidRPr="00FC097F">
        <w:rPr>
          <w:lang w:val="el-GR"/>
        </w:rPr>
        <w:t xml:space="preserve"> </w:t>
      </w:r>
      <w:r>
        <w:t>on</w:t>
      </w:r>
      <w:r w:rsidRPr="00FC097F">
        <w:rPr>
          <w:lang w:val="el-GR"/>
        </w:rPr>
        <w:t xml:space="preserve"> </w:t>
      </w:r>
      <w:r>
        <w:t>Banking</w:t>
      </w:r>
      <w:r w:rsidRPr="00FC097F">
        <w:rPr>
          <w:lang w:val="el-GR"/>
        </w:rPr>
        <w:t xml:space="preserve"> </w:t>
      </w:r>
      <w:r>
        <w:t>Supervision</w:t>
      </w:r>
      <w:r w:rsidRPr="00FC097F">
        <w:rPr>
          <w:lang w:val="el-GR"/>
        </w:rPr>
        <w:t>, 1988).</w:t>
      </w:r>
    </w:p>
    <w:p w14:paraId="0BAC7B09" w14:textId="77777777" w:rsidR="00FC097F" w:rsidRPr="005B30C1" w:rsidRDefault="00FC097F" w:rsidP="00FC097F">
      <w:pPr>
        <w:pStyle w:val="af"/>
        <w:rPr>
          <w:lang w:val="el-GR"/>
        </w:rPr>
      </w:pPr>
      <w:r w:rsidRPr="005B30C1">
        <w:rPr>
          <w:lang w:val="el-GR"/>
        </w:rPr>
        <w:t xml:space="preserve">Μετά την κρίση του 2008, η </w:t>
      </w:r>
      <w:r>
        <w:t>Basel</w:t>
      </w:r>
      <w:r w:rsidRPr="005B30C1">
        <w:rPr>
          <w:lang w:val="el-GR"/>
        </w:rPr>
        <w:t xml:space="preserve"> </w:t>
      </w:r>
      <w:r>
        <w:t>III</w:t>
      </w:r>
      <w:r w:rsidRPr="005B30C1">
        <w:rPr>
          <w:lang w:val="el-GR"/>
        </w:rPr>
        <w:t xml:space="preserve"> ενίσχυσε περαιτέρω τις απαιτήσεις κεφαλαίου και ρευστότητας. Η κρίση έδειξε ότι η επάρκεια κεφαλαίου δεν αρκεί όταν οι αγορές παγώνουν, η ρευστότητα εξαφανίζεται και οι συσχετίσεις αυξάνονται απότομα. Έτσι, το κανονιστικό πλαίσιο έδωσε μεγαλύτερη έμφαση σε </w:t>
      </w:r>
      <w:r>
        <w:t>stress</w:t>
      </w:r>
      <w:r w:rsidRPr="005B30C1">
        <w:rPr>
          <w:lang w:val="el-GR"/>
        </w:rPr>
        <w:t xml:space="preserve"> </w:t>
      </w:r>
      <w:r>
        <w:t>testing</w:t>
      </w:r>
      <w:r w:rsidRPr="005B30C1">
        <w:rPr>
          <w:lang w:val="el-GR"/>
        </w:rPr>
        <w:t xml:space="preserve">, δείκτες ρευστότητας, ποιότητα κεφαλαίων και περιορισμό της υπερβολικής </w:t>
      </w:r>
      <w:proofErr w:type="spellStart"/>
      <w:r w:rsidRPr="005B30C1">
        <w:rPr>
          <w:lang w:val="el-GR"/>
        </w:rPr>
        <w:t>μόχλευσης</w:t>
      </w:r>
      <w:proofErr w:type="spellEnd"/>
      <w:r w:rsidRPr="005B30C1">
        <w:rPr>
          <w:lang w:val="el-GR"/>
        </w:rPr>
        <w:t xml:space="preserve">. Στον χώρο του κινδύνου αγοράς, η κριτική στη </w:t>
      </w:r>
      <w:proofErr w:type="spellStart"/>
      <w:r>
        <w:t>VaR</w:t>
      </w:r>
      <w:proofErr w:type="spellEnd"/>
      <w:r w:rsidRPr="005B30C1">
        <w:rPr>
          <w:lang w:val="el-GR"/>
        </w:rPr>
        <w:t xml:space="preserve"> οδήγησε σταδιακά και σε μεγαλύτερη έμφαση σε συμπληρωματικά μέτρα, όπως η </w:t>
      </w:r>
      <w:r>
        <w:t>Expected</w:t>
      </w:r>
      <w:r w:rsidRPr="005B30C1">
        <w:rPr>
          <w:lang w:val="el-GR"/>
        </w:rPr>
        <w:t xml:space="preserve"> </w:t>
      </w:r>
      <w:r>
        <w:t>Shortfall</w:t>
      </w:r>
      <w:r w:rsidRPr="005B30C1">
        <w:rPr>
          <w:lang w:val="el-GR"/>
        </w:rPr>
        <w:t xml:space="preserve">, η οποία εξετάζει τη μέση ζημία πέρα από το όριο της </w:t>
      </w:r>
      <w:proofErr w:type="spellStart"/>
      <w:r>
        <w:t>VaR</w:t>
      </w:r>
      <w:proofErr w:type="spellEnd"/>
      <w:r w:rsidRPr="005B30C1">
        <w:rPr>
          <w:lang w:val="el-GR"/>
        </w:rPr>
        <w:t xml:space="preserve"> (</w:t>
      </w:r>
      <w:proofErr w:type="spellStart"/>
      <w:r w:rsidRPr="005B30C1">
        <w:rPr>
          <w:lang w:val="el-GR"/>
        </w:rPr>
        <w:t>Basel</w:t>
      </w:r>
      <w:proofErr w:type="spellEnd"/>
      <w:r w:rsidRPr="005B30C1">
        <w:rPr>
          <w:lang w:val="el-GR"/>
        </w:rPr>
        <w:t xml:space="preserve"> Committee on </w:t>
      </w:r>
      <w:proofErr w:type="spellStart"/>
      <w:r w:rsidRPr="005B30C1">
        <w:rPr>
          <w:lang w:val="el-GR"/>
        </w:rPr>
        <w:t>Banking</w:t>
      </w:r>
      <w:proofErr w:type="spellEnd"/>
      <w:r w:rsidRPr="005B30C1">
        <w:rPr>
          <w:lang w:val="el-GR"/>
        </w:rPr>
        <w:t xml:space="preserve"> </w:t>
      </w:r>
      <w:proofErr w:type="spellStart"/>
      <w:r w:rsidRPr="005B30C1">
        <w:rPr>
          <w:lang w:val="el-GR"/>
        </w:rPr>
        <w:t>Supervision</w:t>
      </w:r>
      <w:proofErr w:type="spellEnd"/>
      <w:r w:rsidRPr="005B30C1">
        <w:rPr>
          <w:lang w:val="el-GR"/>
        </w:rPr>
        <w:t>, 2011).</w:t>
      </w:r>
    </w:p>
    <w:p w14:paraId="72F8B05A" w14:textId="77777777" w:rsidR="00FC097F" w:rsidRPr="00FC097F" w:rsidRDefault="00FC097F" w:rsidP="00FC097F">
      <w:pPr>
        <w:pStyle w:val="af"/>
        <w:rPr>
          <w:lang w:val="el-GR"/>
        </w:rPr>
      </w:pPr>
      <w:r w:rsidRPr="00FC097F">
        <w:rPr>
          <w:lang w:val="el-GR"/>
        </w:rPr>
        <w:t xml:space="preserve">Στις πιο πρόσφατες εξελίξεις, οι τελικές μεταρρυθμίσεις της </w:t>
      </w:r>
      <w:r>
        <w:t>Basel</w:t>
      </w:r>
      <w:r w:rsidRPr="00FC097F">
        <w:rPr>
          <w:lang w:val="el-GR"/>
        </w:rPr>
        <w:t xml:space="preserve"> </w:t>
      </w:r>
      <w:r>
        <w:t>III</w:t>
      </w:r>
      <w:r w:rsidRPr="00FC097F">
        <w:rPr>
          <w:lang w:val="el-GR"/>
        </w:rPr>
        <w:t xml:space="preserve"> αναφέρονται συχνά στην αγορά ως </w:t>
      </w:r>
      <w:r>
        <w:t>Basel</w:t>
      </w:r>
      <w:r w:rsidRPr="00FC097F">
        <w:rPr>
          <w:lang w:val="el-GR"/>
        </w:rPr>
        <w:t xml:space="preserve"> </w:t>
      </w:r>
      <w:r>
        <w:t>IV</w:t>
      </w:r>
      <w:r w:rsidRPr="00FC097F">
        <w:rPr>
          <w:lang w:val="el-GR"/>
        </w:rPr>
        <w:t xml:space="preserve"> ή </w:t>
      </w:r>
      <w:r>
        <w:t>Basel</w:t>
      </w:r>
      <w:r w:rsidRPr="00FC097F">
        <w:rPr>
          <w:lang w:val="el-GR"/>
        </w:rPr>
        <w:t xml:space="preserve"> </w:t>
      </w:r>
      <w:r>
        <w:t>III</w:t>
      </w:r>
      <w:r w:rsidRPr="00FC097F">
        <w:rPr>
          <w:lang w:val="el-GR"/>
        </w:rPr>
        <w:t xml:space="preserve"> </w:t>
      </w:r>
      <w:r>
        <w:t>Endgame</w:t>
      </w:r>
      <w:r w:rsidRPr="00FC097F">
        <w:rPr>
          <w:lang w:val="el-GR"/>
        </w:rPr>
        <w:t xml:space="preserve">. Δεν πρόκειται για εντελώς νέο, αυτοτελές πλαίσιο, αλλά για την ολοκλήρωση των μεταρρυθμίσεων μετά την κρίση, με έμφαση στον περιορισμό της υπερβολικής μεταβλητότητας των σταθμισμένων στοιχείων ενεργητικού, στην εισαγωγή </w:t>
      </w:r>
      <w:r>
        <w:t>output</w:t>
      </w:r>
      <w:r w:rsidRPr="00FC097F">
        <w:rPr>
          <w:lang w:val="el-GR"/>
        </w:rPr>
        <w:t xml:space="preserve"> </w:t>
      </w:r>
      <w:r>
        <w:t>floor</w:t>
      </w:r>
      <w:r w:rsidRPr="00FC097F">
        <w:rPr>
          <w:lang w:val="el-GR"/>
        </w:rPr>
        <w:t xml:space="preserve"> για τα εσωτερικά μοντέλα και στην αναθεώρηση των κεφαλαιακών απαιτήσεων για πιστωτικό, λειτουργικό και κίνδυνο αγοράς. Στην Ευρωπαϊκή Ένωση, η εφαρμογή των τελικών μεταρρυθμίσεων προχωρά μέσω του πακέτου </w:t>
      </w:r>
      <w:r>
        <w:t>CRR</w:t>
      </w:r>
      <w:r w:rsidRPr="00FC097F">
        <w:rPr>
          <w:lang w:val="el-GR"/>
        </w:rPr>
        <w:t>3/</w:t>
      </w:r>
      <w:r>
        <w:t>CRD</w:t>
      </w:r>
      <w:r w:rsidRPr="00FC097F">
        <w:rPr>
          <w:lang w:val="el-GR"/>
        </w:rPr>
        <w:t xml:space="preserve">6 από την 1η Ιανουαρίου 2025, ενώ στις Ηνωμένες Πολιτείες η αντίστοιχη συζήτηση αποτυπώνεται στον όρο </w:t>
      </w:r>
      <w:r>
        <w:t>Basel</w:t>
      </w:r>
      <w:r w:rsidRPr="00FC097F">
        <w:rPr>
          <w:lang w:val="el-GR"/>
        </w:rPr>
        <w:t xml:space="preserve"> </w:t>
      </w:r>
      <w:r>
        <w:t>III</w:t>
      </w:r>
      <w:r w:rsidRPr="00FC097F">
        <w:rPr>
          <w:lang w:val="el-GR"/>
        </w:rPr>
        <w:t xml:space="preserve"> </w:t>
      </w:r>
      <w:r>
        <w:t>Endgame</w:t>
      </w:r>
      <w:r w:rsidRPr="00FC097F">
        <w:rPr>
          <w:lang w:val="el-GR"/>
        </w:rPr>
        <w:t xml:space="preserve"> και στις προτάσεις αναθεώρησης του πλαισίου κεφαλαιακής επάρκειας. Η εξέλιξη αυτή είναι άμεσα συναφής με την παρούσα εργασία, επειδή επιβεβαιώνει ότι η χρήση εσωτερικών μοντέλων κινδύνου πρέπει να συνοδεύεται από αυστηρή τεκμηρίωση, </w:t>
      </w:r>
      <w:proofErr w:type="spellStart"/>
      <w:r>
        <w:t>backtesting</w:t>
      </w:r>
      <w:proofErr w:type="spellEnd"/>
      <w:r w:rsidRPr="00FC097F">
        <w:rPr>
          <w:lang w:val="el-GR"/>
        </w:rPr>
        <w:t xml:space="preserve">, έλεγχο υποθέσεων και κατανόηση του </w:t>
      </w:r>
      <w:r>
        <w:t>model</w:t>
      </w:r>
      <w:r w:rsidRPr="00FC097F">
        <w:rPr>
          <w:lang w:val="el-GR"/>
        </w:rPr>
        <w:t xml:space="preserve"> </w:t>
      </w:r>
      <w:r>
        <w:t>risk</w:t>
      </w:r>
      <w:r w:rsidRPr="00FC097F">
        <w:rPr>
          <w:lang w:val="el-GR"/>
        </w:rPr>
        <w:t>, ιδίως όταν τα μοντέλα χρησιμοποιούνται για κίνδυνο αγοράς και χαρτοφυλάκια συναλλαγών (</w:t>
      </w:r>
      <w:r>
        <w:t>Basel</w:t>
      </w:r>
      <w:r w:rsidRPr="00FC097F">
        <w:rPr>
          <w:lang w:val="el-GR"/>
        </w:rPr>
        <w:t xml:space="preserve"> </w:t>
      </w:r>
      <w:r>
        <w:t>Committee</w:t>
      </w:r>
      <w:r w:rsidRPr="00FC097F">
        <w:rPr>
          <w:lang w:val="el-GR"/>
        </w:rPr>
        <w:t xml:space="preserve"> </w:t>
      </w:r>
      <w:r>
        <w:t>on</w:t>
      </w:r>
      <w:r w:rsidRPr="00FC097F">
        <w:rPr>
          <w:lang w:val="el-GR"/>
        </w:rPr>
        <w:t xml:space="preserve"> </w:t>
      </w:r>
      <w:r>
        <w:t>Banking</w:t>
      </w:r>
      <w:r w:rsidRPr="00FC097F">
        <w:rPr>
          <w:lang w:val="el-GR"/>
        </w:rPr>
        <w:t xml:space="preserve"> </w:t>
      </w:r>
      <w:r>
        <w:t>Supervision</w:t>
      </w:r>
      <w:r w:rsidRPr="00FC097F">
        <w:rPr>
          <w:lang w:val="el-GR"/>
        </w:rPr>
        <w:t xml:space="preserve">, 2017; </w:t>
      </w:r>
      <w:r>
        <w:t>Basel</w:t>
      </w:r>
      <w:r w:rsidRPr="00FC097F">
        <w:rPr>
          <w:lang w:val="el-GR"/>
        </w:rPr>
        <w:t xml:space="preserve"> </w:t>
      </w:r>
      <w:r>
        <w:t>Committee</w:t>
      </w:r>
      <w:r w:rsidRPr="00FC097F">
        <w:rPr>
          <w:lang w:val="el-GR"/>
        </w:rPr>
        <w:t xml:space="preserve"> </w:t>
      </w:r>
      <w:r>
        <w:t>on</w:t>
      </w:r>
      <w:r w:rsidRPr="00FC097F">
        <w:rPr>
          <w:lang w:val="el-GR"/>
        </w:rPr>
        <w:t xml:space="preserve"> </w:t>
      </w:r>
      <w:r>
        <w:t>Banking</w:t>
      </w:r>
      <w:r w:rsidRPr="00FC097F">
        <w:rPr>
          <w:lang w:val="el-GR"/>
        </w:rPr>
        <w:t xml:space="preserve"> </w:t>
      </w:r>
      <w:r>
        <w:t>Supervision</w:t>
      </w:r>
      <w:r w:rsidRPr="00FC097F">
        <w:rPr>
          <w:lang w:val="el-GR"/>
        </w:rPr>
        <w:t xml:space="preserve">, 2025; </w:t>
      </w:r>
      <w:r>
        <w:t>European</w:t>
      </w:r>
      <w:r w:rsidRPr="00FC097F">
        <w:rPr>
          <w:lang w:val="el-GR"/>
        </w:rPr>
        <w:t xml:space="preserve"> </w:t>
      </w:r>
      <w:r>
        <w:t>Banking</w:t>
      </w:r>
      <w:r w:rsidRPr="00FC097F">
        <w:rPr>
          <w:lang w:val="el-GR"/>
        </w:rPr>
        <w:t xml:space="preserve"> </w:t>
      </w:r>
      <w:r>
        <w:t>Authority</w:t>
      </w:r>
      <w:r w:rsidRPr="00FC097F">
        <w:rPr>
          <w:lang w:val="el-GR"/>
        </w:rPr>
        <w:t xml:space="preserve">, 2025; </w:t>
      </w:r>
      <w:r>
        <w:t>Board</w:t>
      </w:r>
      <w:r w:rsidRPr="00FC097F">
        <w:rPr>
          <w:lang w:val="el-GR"/>
        </w:rPr>
        <w:t xml:space="preserve"> </w:t>
      </w:r>
      <w:r>
        <w:t>of</w:t>
      </w:r>
      <w:r w:rsidRPr="00FC097F">
        <w:rPr>
          <w:lang w:val="el-GR"/>
        </w:rPr>
        <w:t xml:space="preserve"> </w:t>
      </w:r>
      <w:r>
        <w:t>Governors</w:t>
      </w:r>
      <w:r w:rsidRPr="00FC097F">
        <w:rPr>
          <w:lang w:val="el-GR"/>
        </w:rPr>
        <w:t xml:space="preserve"> </w:t>
      </w:r>
      <w:r>
        <w:t>of</w:t>
      </w:r>
      <w:r w:rsidRPr="00FC097F">
        <w:rPr>
          <w:lang w:val="el-GR"/>
        </w:rPr>
        <w:t xml:space="preserve"> </w:t>
      </w:r>
      <w:r>
        <w:t>the</w:t>
      </w:r>
      <w:r w:rsidRPr="00FC097F">
        <w:rPr>
          <w:lang w:val="el-GR"/>
        </w:rPr>
        <w:t xml:space="preserve"> </w:t>
      </w:r>
      <w:r>
        <w:t>Federal</w:t>
      </w:r>
      <w:r w:rsidRPr="00FC097F">
        <w:rPr>
          <w:lang w:val="el-GR"/>
        </w:rPr>
        <w:t xml:space="preserve"> </w:t>
      </w:r>
      <w:r>
        <w:t>Reserve</w:t>
      </w:r>
      <w:r w:rsidRPr="00FC097F">
        <w:rPr>
          <w:lang w:val="el-GR"/>
        </w:rPr>
        <w:t xml:space="preserve"> </w:t>
      </w:r>
      <w:r>
        <w:t>System</w:t>
      </w:r>
      <w:r w:rsidRPr="00FC097F">
        <w:rPr>
          <w:lang w:val="el-GR"/>
        </w:rPr>
        <w:t>, 2026).</w:t>
      </w:r>
    </w:p>
    <w:p w14:paraId="499273B7" w14:textId="77777777" w:rsidR="00FC097F" w:rsidRPr="005B30C1" w:rsidRDefault="00FC097F" w:rsidP="00FC097F">
      <w:pPr>
        <w:pStyle w:val="af"/>
        <w:rPr>
          <w:lang w:val="el-GR"/>
        </w:rPr>
      </w:pPr>
      <w:r w:rsidRPr="005B30C1">
        <w:rPr>
          <w:lang w:val="el-GR"/>
        </w:rPr>
        <w:t xml:space="preserve">Για την παρούσα εργασία, η ιστορική και κανονιστική εξέλιξη έχει διπλή σημασία. Πρώτον, εξηγεί γιατί η </w:t>
      </w:r>
      <w:proofErr w:type="spellStart"/>
      <w:r>
        <w:t>VaR</w:t>
      </w:r>
      <w:proofErr w:type="spellEnd"/>
      <w:r w:rsidRPr="005B30C1">
        <w:rPr>
          <w:lang w:val="el-GR"/>
        </w:rPr>
        <w:t xml:space="preserve"> αποτελεί βασικό εργαλείο στη μέτρηση του κινδύνου αγοράς. Δεύτερον, αναδεικνύει γιατί η </w:t>
      </w:r>
      <w:proofErr w:type="spellStart"/>
      <w:r>
        <w:t>VaR</w:t>
      </w:r>
      <w:proofErr w:type="spellEnd"/>
      <w:r w:rsidRPr="005B30C1">
        <w:rPr>
          <w:lang w:val="el-GR"/>
        </w:rPr>
        <w:t xml:space="preserve"> πρέπει να συνοδεύεται από </w:t>
      </w:r>
      <w:proofErr w:type="spellStart"/>
      <w:r>
        <w:t>backtesting</w:t>
      </w:r>
      <w:proofErr w:type="spellEnd"/>
      <w:r w:rsidRPr="005B30C1">
        <w:rPr>
          <w:lang w:val="el-GR"/>
        </w:rPr>
        <w:t xml:space="preserve"> και κριτική αξιολόγηση. Η εργασία δεν αντιμετωπίζει τη </w:t>
      </w:r>
      <w:proofErr w:type="spellStart"/>
      <w:r>
        <w:t>VaR</w:t>
      </w:r>
      <w:proofErr w:type="spellEnd"/>
      <w:r w:rsidRPr="005B30C1">
        <w:rPr>
          <w:lang w:val="el-GR"/>
        </w:rPr>
        <w:t xml:space="preserve"> ως τέλειο εργαλείο, αλλά ως κεντρικό σημείο αναφοράς μιας διαδικασίας που περιλαμβάνει υπολογισμό, αξιολόγηση και ερμηνεία των αποτελεσμάτων.</w:t>
      </w:r>
    </w:p>
    <w:p w14:paraId="126E199C" w14:textId="77777777" w:rsidR="00FC097F" w:rsidRPr="005B30C1" w:rsidRDefault="00FC097F" w:rsidP="00FC097F">
      <w:pPr>
        <w:pStyle w:val="af"/>
        <w:rPr>
          <w:lang w:val="el-GR"/>
        </w:rPr>
      </w:pPr>
      <w:r w:rsidRPr="005B30C1">
        <w:rPr>
          <w:lang w:val="el-GR"/>
        </w:rPr>
        <w:lastRenderedPageBreak/>
        <w:t xml:space="preserve">Η σύνδεση της </w:t>
      </w:r>
      <w:proofErr w:type="spellStart"/>
      <w:r>
        <w:t>VaR</w:t>
      </w:r>
      <w:proofErr w:type="spellEnd"/>
      <w:r w:rsidRPr="005B30C1">
        <w:rPr>
          <w:lang w:val="el-GR"/>
        </w:rPr>
        <w:t xml:space="preserve"> με το εποπτικό κεφάλαιο άλλαξε ριζικά τον τρόπο με τον οποίο οι τράπεζες αντιλαμβάνονται τον κίνδυνο αγοράς. Πριν από την ενσωμάτωση των εσωτερικών μοντέλων, οι κεφαλαιακές απαιτήσεις βασίζονταν περισσότερο σε τυποποιημένες προσεγγίσεις. Με την εισαγωγή των εσωτερικών μοντέλων, η ίδια η τράπεζα μπορούσε να χρησιμοποιεί τα δικά της συστήματα μέτρησης, υπό την προϋπόθεση ότι αυτά ελέγχονται, τεκμηριώνονται και υποβάλλονται σε </w:t>
      </w:r>
      <w:proofErr w:type="spellStart"/>
      <w:r>
        <w:t>backtesting</w:t>
      </w:r>
      <w:proofErr w:type="spellEnd"/>
      <w:r w:rsidRPr="005B30C1">
        <w:rPr>
          <w:lang w:val="el-GR"/>
        </w:rPr>
        <w:t xml:space="preserve">. Αυτό δημιούργησε ένα ισχυρό κίνητρο για ανάπτυξη ποσοτικών υποδομών, αλλά ταυτόχρονα ανέδειξε τον κίνδυνο του </w:t>
      </w:r>
      <w:r>
        <w:t>model</w:t>
      </w:r>
      <w:r w:rsidRPr="005B30C1">
        <w:rPr>
          <w:lang w:val="el-GR"/>
        </w:rPr>
        <w:t xml:space="preserve"> </w:t>
      </w:r>
      <w:r>
        <w:t>risk</w:t>
      </w:r>
      <w:r w:rsidRPr="005B30C1">
        <w:rPr>
          <w:lang w:val="el-GR"/>
        </w:rPr>
        <w:t>. Ένα μοντέλο μπορεί να είναι τεχνικά σύνθετο και παρόλα αυτά να αποτυγχάνει αν στηρίζεται σε ακατάλληλες υποθέσεις ή αν δεν ελέγχεται συστηματικά.</w:t>
      </w:r>
    </w:p>
    <w:p w14:paraId="24D93F41" w14:textId="77777777" w:rsidR="00FC097F" w:rsidRPr="005B30C1" w:rsidRDefault="00FC097F" w:rsidP="00FC097F">
      <w:pPr>
        <w:pStyle w:val="af"/>
        <w:rPr>
          <w:lang w:val="el-GR"/>
        </w:rPr>
      </w:pPr>
      <w:r w:rsidRPr="005B30C1">
        <w:rPr>
          <w:lang w:val="el-GR"/>
        </w:rPr>
        <w:t xml:space="preserve">Μετά την κρίση του 2008, η </w:t>
      </w:r>
      <w:r>
        <w:t>Basel</w:t>
      </w:r>
      <w:r w:rsidRPr="005B30C1">
        <w:rPr>
          <w:lang w:val="el-GR"/>
        </w:rPr>
        <w:t xml:space="preserve"> </w:t>
      </w:r>
      <w:r>
        <w:t>III</w:t>
      </w:r>
      <w:r w:rsidRPr="005B30C1">
        <w:rPr>
          <w:lang w:val="el-GR"/>
        </w:rPr>
        <w:t xml:space="preserve"> έδωσε έμφαση στην ποιότητα και επάρκεια των κεφαλαίων, στη </w:t>
      </w:r>
      <w:proofErr w:type="spellStart"/>
      <w:r w:rsidRPr="005B30C1">
        <w:rPr>
          <w:lang w:val="el-GR"/>
        </w:rPr>
        <w:t>μόχλευση</w:t>
      </w:r>
      <w:proofErr w:type="spellEnd"/>
      <w:r w:rsidRPr="005B30C1">
        <w:rPr>
          <w:lang w:val="el-GR"/>
        </w:rPr>
        <w:t xml:space="preserve"> και στη ρευστότητα. Παράλληλα, η διεθνής συζήτηση μετατοπίστηκε σταδιακά από τη στενή χρήση της </w:t>
      </w:r>
      <w:proofErr w:type="spellStart"/>
      <w:r>
        <w:t>VaR</w:t>
      </w:r>
      <w:proofErr w:type="spellEnd"/>
      <w:r w:rsidRPr="005B30C1">
        <w:rPr>
          <w:lang w:val="el-GR"/>
        </w:rPr>
        <w:t xml:space="preserve"> προς συμπληρωματικά μέτρα, όπως το </w:t>
      </w:r>
      <w:r>
        <w:t>Expected</w:t>
      </w:r>
      <w:r w:rsidRPr="005B30C1">
        <w:rPr>
          <w:lang w:val="el-GR"/>
        </w:rPr>
        <w:t xml:space="preserve"> </w:t>
      </w:r>
      <w:r>
        <w:t>Shortfall</w:t>
      </w:r>
      <w:r w:rsidRPr="005B30C1">
        <w:rPr>
          <w:lang w:val="el-GR"/>
        </w:rPr>
        <w:t xml:space="preserve">, επειδή η </w:t>
      </w:r>
      <w:proofErr w:type="spellStart"/>
      <w:r>
        <w:t>VaR</w:t>
      </w:r>
      <w:proofErr w:type="spellEnd"/>
      <w:r w:rsidRPr="005B30C1">
        <w:rPr>
          <w:lang w:val="el-GR"/>
        </w:rPr>
        <w:t xml:space="preserve"> δεν αποτυπώνει το μέγεθος της ζημίας πέρα από το επιλεγμένο </w:t>
      </w:r>
      <w:proofErr w:type="spellStart"/>
      <w:r w:rsidRPr="005B30C1">
        <w:rPr>
          <w:lang w:val="el-GR"/>
        </w:rPr>
        <w:t>ποσοστημόριο</w:t>
      </w:r>
      <w:proofErr w:type="spellEnd"/>
      <w:r w:rsidRPr="005B30C1">
        <w:rPr>
          <w:lang w:val="el-GR"/>
        </w:rPr>
        <w:t xml:space="preserve">. Παρόλα αυτά, η </w:t>
      </w:r>
      <w:proofErr w:type="spellStart"/>
      <w:r>
        <w:t>VaR</w:t>
      </w:r>
      <w:proofErr w:type="spellEnd"/>
      <w:r w:rsidRPr="005B30C1">
        <w:rPr>
          <w:lang w:val="el-GR"/>
        </w:rPr>
        <w:t xml:space="preserve"> παραμένει σημαντική στην εκπαίδευση, στη βιβλιογραφία και στην πρακτική, διότι είναι εύληπτη και επιτρέπει άμεση σύγκριση μεταξύ χαρτοφυλακίων, χρονικών περιόδων και μοντέλων. Η παρούσα εργασία αξιοποιεί τη </w:t>
      </w:r>
      <w:proofErr w:type="spellStart"/>
      <w:r>
        <w:t>VaR</w:t>
      </w:r>
      <w:proofErr w:type="spellEnd"/>
      <w:r w:rsidRPr="005B30C1">
        <w:rPr>
          <w:lang w:val="el-GR"/>
        </w:rPr>
        <w:t xml:space="preserve"> ακριβώς γι’ αυτόν τον λόγο: όχι ως τέλειο μέτρο κινδύνου, αλλά ως κεντρικό εργαλείο που επιτρέπει σαφή εμπειρική εφαρμογή και στατιστική αξιολόγηση (</w:t>
      </w:r>
      <w:proofErr w:type="spellStart"/>
      <w:r w:rsidRPr="005B30C1">
        <w:rPr>
          <w:lang w:val="el-GR"/>
        </w:rPr>
        <w:t>Basel</w:t>
      </w:r>
      <w:proofErr w:type="spellEnd"/>
      <w:r w:rsidRPr="005B30C1">
        <w:rPr>
          <w:lang w:val="el-GR"/>
        </w:rPr>
        <w:t xml:space="preserve"> Committee on </w:t>
      </w:r>
      <w:proofErr w:type="spellStart"/>
      <w:r w:rsidRPr="005B30C1">
        <w:rPr>
          <w:lang w:val="el-GR"/>
        </w:rPr>
        <w:t>Banking</w:t>
      </w:r>
      <w:proofErr w:type="spellEnd"/>
      <w:r w:rsidRPr="005B30C1">
        <w:rPr>
          <w:lang w:val="el-GR"/>
        </w:rPr>
        <w:t xml:space="preserve"> </w:t>
      </w:r>
      <w:proofErr w:type="spellStart"/>
      <w:r w:rsidRPr="005B30C1">
        <w:rPr>
          <w:lang w:val="el-GR"/>
        </w:rPr>
        <w:t>Supervision</w:t>
      </w:r>
      <w:proofErr w:type="spellEnd"/>
      <w:r w:rsidRPr="005B30C1">
        <w:rPr>
          <w:lang w:val="el-GR"/>
        </w:rPr>
        <w:t xml:space="preserve">, 2011; </w:t>
      </w:r>
      <w:proofErr w:type="spellStart"/>
      <w:r w:rsidRPr="005B30C1">
        <w:rPr>
          <w:lang w:val="el-GR"/>
        </w:rPr>
        <w:t>Basel</w:t>
      </w:r>
      <w:proofErr w:type="spellEnd"/>
      <w:r w:rsidRPr="005B30C1">
        <w:rPr>
          <w:lang w:val="el-GR"/>
        </w:rPr>
        <w:t xml:space="preserve"> Committee on </w:t>
      </w:r>
      <w:proofErr w:type="spellStart"/>
      <w:r w:rsidRPr="005B30C1">
        <w:rPr>
          <w:lang w:val="el-GR"/>
        </w:rPr>
        <w:t>Banking</w:t>
      </w:r>
      <w:proofErr w:type="spellEnd"/>
      <w:r w:rsidRPr="005B30C1">
        <w:rPr>
          <w:lang w:val="el-GR"/>
        </w:rPr>
        <w:t xml:space="preserve"> </w:t>
      </w:r>
      <w:proofErr w:type="spellStart"/>
      <w:r w:rsidRPr="005B30C1">
        <w:rPr>
          <w:lang w:val="el-GR"/>
        </w:rPr>
        <w:t>Supervision</w:t>
      </w:r>
      <w:proofErr w:type="spellEnd"/>
      <w:r w:rsidRPr="005B30C1">
        <w:rPr>
          <w:lang w:val="el-GR"/>
        </w:rPr>
        <w:t>, 2019).</w:t>
      </w:r>
    </w:p>
    <w:p w14:paraId="3D5C6253" w14:textId="77777777" w:rsidR="00FC097F" w:rsidRPr="005B30C1" w:rsidRDefault="00FC097F" w:rsidP="00FC097F">
      <w:pPr>
        <w:pStyle w:val="af"/>
        <w:rPr>
          <w:lang w:val="el-GR"/>
        </w:rPr>
      </w:pPr>
      <w:r w:rsidRPr="005B30C1">
        <w:rPr>
          <w:lang w:val="el-GR"/>
        </w:rPr>
        <w:t xml:space="preserve">Το κανονιστικό πλαίσιο της Βασιλείας υπογραμμίζει επίσης ότι η μέτρηση κινδύνου δεν μπορεί να αποκοπεί από την εσωτερική διακυβέρνηση. Τα μοντέλα </w:t>
      </w:r>
      <w:proofErr w:type="spellStart"/>
      <w:r>
        <w:t>VaR</w:t>
      </w:r>
      <w:proofErr w:type="spellEnd"/>
      <w:r w:rsidRPr="005B30C1">
        <w:rPr>
          <w:lang w:val="el-GR"/>
        </w:rPr>
        <w:t xml:space="preserve"> πρέπει να υποστηρίζονται από ανεξάρτητη επικύρωση, τεκμηρίωση παραμέτρων, διαδικασίες αλλαγής μοντέλων και σαφή αναφορά αποτελεσμάτων. Για παράδειγμα, ένα </w:t>
      </w:r>
      <w:proofErr w:type="spellStart"/>
      <w:r>
        <w:t>VaR</w:t>
      </w:r>
      <w:proofErr w:type="spellEnd"/>
      <w:r w:rsidRPr="005B30C1">
        <w:rPr>
          <w:lang w:val="el-GR"/>
        </w:rPr>
        <w:t xml:space="preserve"> που υπολογίζεται καθημερινά αλλά δεν οδηγεί σε συζήτηση ορίων ή κεφαλαιακής επάρκειας έχει περιορισμένη χρησιμότητα. Αντίθετα, ένα σύστημα </w:t>
      </w:r>
      <w:proofErr w:type="spellStart"/>
      <w:r>
        <w:t>VaR</w:t>
      </w:r>
      <w:proofErr w:type="spellEnd"/>
      <w:r w:rsidRPr="005B30C1">
        <w:rPr>
          <w:lang w:val="el-GR"/>
        </w:rPr>
        <w:t xml:space="preserve"> που συνδέεται με όρια, </w:t>
      </w:r>
      <w:r>
        <w:t>stress</w:t>
      </w:r>
      <w:r w:rsidRPr="005B30C1">
        <w:rPr>
          <w:lang w:val="el-GR"/>
        </w:rPr>
        <w:t xml:space="preserve"> </w:t>
      </w:r>
      <w:r>
        <w:t>scenarios</w:t>
      </w:r>
      <w:r w:rsidRPr="005B30C1">
        <w:rPr>
          <w:lang w:val="el-GR"/>
        </w:rPr>
        <w:t xml:space="preserve"> και </w:t>
      </w:r>
      <w:proofErr w:type="spellStart"/>
      <w:r>
        <w:t>backtesting</w:t>
      </w:r>
      <w:proofErr w:type="spellEnd"/>
      <w:r w:rsidRPr="005B30C1">
        <w:rPr>
          <w:lang w:val="el-GR"/>
        </w:rPr>
        <w:t xml:space="preserve"> μπορεί να λειτουργήσει ως εργαλείο διοίκησης. Αυτό είναι το πνεύμα με το οποίο χρησιμοποιείται και στην παρούσα εργασία: το </w:t>
      </w:r>
      <w:proofErr w:type="spellStart"/>
      <w:r>
        <w:t>VaR</w:t>
      </w:r>
      <w:proofErr w:type="spellEnd"/>
      <w:r w:rsidRPr="005B30C1">
        <w:rPr>
          <w:lang w:val="el-GR"/>
        </w:rPr>
        <w:t xml:space="preserve"> δεν εμφανίζεται ως απλός αριθμός, αλλά αξιολογείται ως προς την πρακτική αξιοπιστία του.</w:t>
      </w:r>
    </w:p>
    <w:p w14:paraId="1C34EF75" w14:textId="77777777" w:rsidR="00FC097F" w:rsidRPr="005B30C1" w:rsidRDefault="00FC097F" w:rsidP="00321E2E">
      <w:pPr>
        <w:pStyle w:val="21"/>
        <w:rPr>
          <w:lang w:val="el-GR"/>
        </w:rPr>
      </w:pPr>
      <w:bookmarkStart w:id="12" w:name="_Toc232171067"/>
      <w:bookmarkStart w:id="13" w:name="Xa3511efe1e44c285a6e878b2ff8f36618cac13a"/>
      <w:bookmarkEnd w:id="11"/>
      <w:r w:rsidRPr="005B30C1">
        <w:rPr>
          <w:rFonts w:eastAsia="Times New Roman"/>
          <w:lang w:val="el-GR"/>
        </w:rPr>
        <w:t xml:space="preserve">1.4 Λειτουργικός διαχωρισμός: </w:t>
      </w:r>
      <w:r>
        <w:rPr>
          <w:rFonts w:eastAsia="Times New Roman"/>
        </w:rPr>
        <w:t>Risk</w:t>
      </w:r>
      <w:r w:rsidRPr="005B30C1">
        <w:rPr>
          <w:rFonts w:eastAsia="Times New Roman"/>
          <w:lang w:val="el-GR"/>
        </w:rPr>
        <w:t xml:space="preserve"> </w:t>
      </w:r>
      <w:r>
        <w:rPr>
          <w:rFonts w:eastAsia="Times New Roman"/>
        </w:rPr>
        <w:t>Management</w:t>
      </w:r>
      <w:r w:rsidRPr="005B30C1">
        <w:rPr>
          <w:rFonts w:eastAsia="Times New Roman"/>
          <w:lang w:val="el-GR"/>
        </w:rPr>
        <w:t xml:space="preserve"> και </w:t>
      </w:r>
      <w:r>
        <w:rPr>
          <w:rFonts w:eastAsia="Times New Roman"/>
        </w:rPr>
        <w:t>Hedging</w:t>
      </w:r>
      <w:bookmarkEnd w:id="12"/>
    </w:p>
    <w:p w14:paraId="35D32529" w14:textId="77777777" w:rsidR="00FC097F" w:rsidRPr="005B30C1" w:rsidRDefault="00FC097F" w:rsidP="00FC097F">
      <w:pPr>
        <w:ind w:firstLine="357"/>
        <w:rPr>
          <w:lang w:val="el-GR"/>
        </w:rPr>
      </w:pPr>
      <w:r w:rsidRPr="005B30C1">
        <w:rPr>
          <w:lang w:val="el-GR"/>
        </w:rPr>
        <w:t xml:space="preserve">Ένα κρίσιμο σημείο για τη σωστή τοποθέτηση της εργασίας είναι ο λειτουργικός διαχωρισμός μεταξύ διαχείρισης κινδύνου και αντιστάθμισης. Οι δύο έννοιες συνδέονται, αλλά </w:t>
      </w:r>
      <w:r w:rsidRPr="005B30C1">
        <w:rPr>
          <w:lang w:val="el-GR"/>
        </w:rPr>
        <w:lastRenderedPageBreak/>
        <w:t xml:space="preserve">δεν είναι ίδιες. Η διαχείριση κινδύνου έχει ως κύριο σκοπό την ανεξάρτητη αναγνώριση, μέτρηση, παρακολούθηση και αναφορά του κινδύνου. Ο </w:t>
      </w:r>
      <w:r>
        <w:t>risk</w:t>
      </w:r>
      <w:r w:rsidRPr="005B30C1">
        <w:rPr>
          <w:lang w:val="el-GR"/>
        </w:rPr>
        <w:t xml:space="preserve"> </w:t>
      </w:r>
      <w:r>
        <w:t>manager</w:t>
      </w:r>
      <w:r w:rsidRPr="005B30C1">
        <w:rPr>
          <w:lang w:val="el-GR"/>
        </w:rPr>
        <w:t xml:space="preserve"> λειτουργεί ως ελεγκτικός και πληροφοριακός μηχανισμός. Δεν πρέπει να έχει κίνητρο να αποκρύπτει ζημίες ή να δικαιολογεί συναλλακτικές αποφάσεις. Αντίθετα, ο </w:t>
      </w:r>
      <w:r>
        <w:t>portfolio</w:t>
      </w:r>
      <w:r w:rsidRPr="005B30C1">
        <w:rPr>
          <w:lang w:val="el-GR"/>
        </w:rPr>
        <w:t xml:space="preserve"> </w:t>
      </w:r>
      <w:r>
        <w:t>manager</w:t>
      </w:r>
      <w:r w:rsidRPr="005B30C1">
        <w:rPr>
          <w:lang w:val="el-GR"/>
        </w:rPr>
        <w:t xml:space="preserve"> ή </w:t>
      </w:r>
      <w:r>
        <w:t>trader</w:t>
      </w:r>
      <w:r w:rsidRPr="005B30C1">
        <w:rPr>
          <w:lang w:val="el-GR"/>
        </w:rPr>
        <w:t xml:space="preserve"> λαμβάνει αποφάσεις τοποθέτησης, αναδιάρθρωσης ή αντιστάθμισης, με στόχο την επίτευξη συγκεκριμένης σχέσης κινδύνου και απόδοσης.</w:t>
      </w:r>
    </w:p>
    <w:p w14:paraId="00455E94" w14:textId="77777777" w:rsidR="00FC097F" w:rsidRPr="005B30C1" w:rsidRDefault="00FC097F" w:rsidP="00FC097F">
      <w:pPr>
        <w:pStyle w:val="af"/>
        <w:rPr>
          <w:lang w:val="el-GR"/>
        </w:rPr>
      </w:pPr>
      <w:r w:rsidRPr="005B30C1">
        <w:rPr>
          <w:lang w:val="el-GR"/>
        </w:rPr>
        <w:t>Η διάκριση αυτή δεν είναι τυπική. Είναι ουσιαστική προϋπόθεση χρηστής διακυβέρνησης. Όταν ο ίδιος ρόλος μετρά τον κίνδυνο και ταυτόχρονα λαμβάνει συναλλακτικές αποφάσεις, δημιουργείται σύγκρουση συμφερόντων. Ο υπεύθυνος συναλλαγών μπορεί να έχει κίνητρο να υποβαθμίσει τον κίνδυνο ή να καθυστερήσει την αναγνώριση ζημιών. Η ιστορία έχει δείξει ότι η σύγχυση των ρόλων αυτών μπορεί να οδηγήσει σε σοβαρές αποτυχίες, καθώς επιτρέπει την υπέρβαση ορίων και την απόκρυψη πραγματικών εκθέσεων.</w:t>
      </w:r>
    </w:p>
    <w:p w14:paraId="004A0E97" w14:textId="77777777" w:rsidR="00FC097F" w:rsidRPr="005B30C1" w:rsidRDefault="00FC097F" w:rsidP="00FC097F">
      <w:pPr>
        <w:pStyle w:val="af"/>
        <w:rPr>
          <w:lang w:val="el-GR"/>
        </w:rPr>
      </w:pPr>
      <w:r w:rsidRPr="005B30C1">
        <w:rPr>
          <w:lang w:val="el-GR"/>
        </w:rPr>
        <w:t xml:space="preserve">Για τους σκοπούς της ανάλυσης, η μέτρηση </w:t>
      </w:r>
      <w:proofErr w:type="spellStart"/>
      <w:r>
        <w:t>VaR</w:t>
      </w:r>
      <w:proofErr w:type="spellEnd"/>
      <w:r w:rsidRPr="005B30C1">
        <w:rPr>
          <w:lang w:val="el-GR"/>
        </w:rPr>
        <w:t xml:space="preserve"> εκφράζει κυρίως τη σκοπιά του </w:t>
      </w:r>
      <w:r>
        <w:t>risk</w:t>
      </w:r>
      <w:r w:rsidRPr="005B30C1">
        <w:rPr>
          <w:lang w:val="el-GR"/>
        </w:rPr>
        <w:t xml:space="preserve"> </w:t>
      </w:r>
      <w:r>
        <w:t>manager</w:t>
      </w:r>
      <w:r w:rsidRPr="005B30C1">
        <w:rPr>
          <w:lang w:val="el-GR"/>
        </w:rPr>
        <w:t xml:space="preserve">. Το ζητούμενο είναι να εκτιμηθεί πόση ζημία μπορεί να υποστεί το χαρτοφυλάκιο σε συγκεκριμένο χρονικό ορίζοντα και επίπεδο εμπιστοσύνης και αν οι εκτιμήσεις αυτές επιβεβαιώνονται από τα πραγματικά δεδομένα. Η αντιστάθμιση με </w:t>
      </w:r>
      <w:r>
        <w:t>futures</w:t>
      </w:r>
      <w:r w:rsidRPr="005B30C1">
        <w:rPr>
          <w:lang w:val="el-GR"/>
        </w:rPr>
        <w:t xml:space="preserve"> εισάγεται αργότερα ως εφαρμοσμένη επέκταση, δηλαδή ως παράδειγμα απόφασης διαχείρισης χαρτοφυλακίου που μπορεί να βασιστεί στην πληροφόρηση του </w:t>
      </w:r>
      <w:r>
        <w:t>risk</w:t>
      </w:r>
      <w:r w:rsidRPr="005B30C1">
        <w:rPr>
          <w:lang w:val="el-GR"/>
        </w:rPr>
        <w:t xml:space="preserve"> </w:t>
      </w:r>
      <w:r>
        <w:t>management</w:t>
      </w:r>
      <w:r w:rsidRPr="005B30C1">
        <w:rPr>
          <w:lang w:val="el-GR"/>
        </w:rPr>
        <w:t xml:space="preserve">. Με άλλα λόγια, πρώτα </w:t>
      </w:r>
      <w:proofErr w:type="spellStart"/>
      <w:r w:rsidRPr="005B30C1">
        <w:rPr>
          <w:lang w:val="el-GR"/>
        </w:rPr>
        <w:t>μετράται</w:t>
      </w:r>
      <w:proofErr w:type="spellEnd"/>
      <w:r w:rsidRPr="005B30C1">
        <w:rPr>
          <w:lang w:val="el-GR"/>
        </w:rPr>
        <w:t xml:space="preserve"> ο κίνδυνος και έπειτα εξετάζεται πώς μπορεί να μειωθεί.</w:t>
      </w:r>
    </w:p>
    <w:p w14:paraId="341E5A86" w14:textId="77777777" w:rsidR="00FC097F" w:rsidRPr="005B30C1" w:rsidRDefault="00FC097F" w:rsidP="00FC097F">
      <w:pPr>
        <w:pStyle w:val="af"/>
        <w:rPr>
          <w:lang w:val="el-GR"/>
        </w:rPr>
      </w:pPr>
      <w:r w:rsidRPr="005B30C1">
        <w:rPr>
          <w:lang w:val="el-GR"/>
        </w:rPr>
        <w:t xml:space="preserve">Πρέπει συνεπώς να τονιστεί ότι η Διαχείριση Κινδύνου και η Αντιστάθμιση αποτελούν λειτουργικά διαφορετικές δραστηριότητες εντός ενός χρηματοπιστωτικού οργανισμού. Ο Διαχειριστής Κινδύνου λειτουργεί ως ανεξάρτητη δικλείδα ασφαλείας, με στόχο την αντικειμενική αποτίμηση της έκθεσης, χωρίς να εμπλέκεται στις συναλλακτικές αποφάσεις. Αντιθέτως, η αντιστάθμιση αποτελεί μέρος της στρατηγικής του </w:t>
      </w:r>
      <w:r>
        <w:t>Portfolio</w:t>
      </w:r>
      <w:r w:rsidRPr="005B30C1">
        <w:rPr>
          <w:lang w:val="el-GR"/>
        </w:rPr>
        <w:t xml:space="preserve"> </w:t>
      </w:r>
      <w:r>
        <w:t>Manager</w:t>
      </w:r>
      <w:r w:rsidRPr="005B30C1">
        <w:rPr>
          <w:lang w:val="el-GR"/>
        </w:rPr>
        <w:t>. Η σύγχυση αυτών των δύο ρόλων έχει ιστορικά οδηγήσει σε μείζονα χρηματοοικονομικά σκάνδαλα, καθώς η έλλειψη διακριτών ρόλων επιτρέπει την απόκρυψη ζημιών και την υπέρβαση των ορίων κινδύνου.</w:t>
      </w:r>
    </w:p>
    <w:p w14:paraId="0B839A37" w14:textId="77777777" w:rsidR="00FC097F" w:rsidRPr="005B30C1" w:rsidRDefault="00FC097F" w:rsidP="00FC097F">
      <w:pPr>
        <w:pStyle w:val="af"/>
        <w:rPr>
          <w:lang w:val="el-GR"/>
        </w:rPr>
      </w:pPr>
      <w:r w:rsidRPr="005B30C1">
        <w:rPr>
          <w:lang w:val="el-GR"/>
        </w:rPr>
        <w:t xml:space="preserve">Η λειτουργική ανεξαρτησία του </w:t>
      </w:r>
      <w:r>
        <w:t>risk</w:t>
      </w:r>
      <w:r w:rsidRPr="005B30C1">
        <w:rPr>
          <w:lang w:val="el-GR"/>
        </w:rPr>
        <w:t xml:space="preserve"> </w:t>
      </w:r>
      <w:r>
        <w:t>manager</w:t>
      </w:r>
      <w:r w:rsidRPr="005B30C1">
        <w:rPr>
          <w:lang w:val="el-GR"/>
        </w:rPr>
        <w:t xml:space="preserve"> μπορεί να γίνει κατανοητή μέσα από τη λογική των «τριών γραμμών άμυνας». Η πρώτη γραμμή είναι οι μονάδες που αναλαμβάνουν τον κίνδυνο, όπως οι </w:t>
      </w:r>
      <w:r>
        <w:t>traders</w:t>
      </w:r>
      <w:r w:rsidRPr="005B30C1">
        <w:rPr>
          <w:lang w:val="el-GR"/>
        </w:rPr>
        <w:t xml:space="preserve"> και οι </w:t>
      </w:r>
      <w:r>
        <w:t>portfolio</w:t>
      </w:r>
      <w:r w:rsidRPr="005B30C1">
        <w:rPr>
          <w:lang w:val="el-GR"/>
        </w:rPr>
        <w:t xml:space="preserve"> </w:t>
      </w:r>
      <w:r>
        <w:t>managers</w:t>
      </w:r>
      <w:r w:rsidRPr="005B30C1">
        <w:rPr>
          <w:lang w:val="el-GR"/>
        </w:rPr>
        <w:t xml:space="preserve">. Η δεύτερη γραμμή είναι η λειτουργία διαχείρισης κινδύνου και συμμόρφωσης, η οποία θέτει πολιτικές, παρακολουθεί όρια και </w:t>
      </w:r>
      <w:r w:rsidRPr="005B30C1">
        <w:rPr>
          <w:lang w:val="el-GR"/>
        </w:rPr>
        <w:lastRenderedPageBreak/>
        <w:t xml:space="preserve">ελέγχει την έκθεση. Η τρίτη γραμμή είναι ο εσωτερικός έλεγχος, ο οποίος αξιολογεί αν το συνολικό σύστημα λειτουργεί όπως πρέπει. Στο πλαίσιο αυτό, ο </w:t>
      </w:r>
      <w:r>
        <w:t>risk</w:t>
      </w:r>
      <w:r w:rsidRPr="005B30C1">
        <w:rPr>
          <w:lang w:val="el-GR"/>
        </w:rPr>
        <w:t xml:space="preserve"> </w:t>
      </w:r>
      <w:r>
        <w:t>manager</w:t>
      </w:r>
      <w:r w:rsidRPr="005B30C1">
        <w:rPr>
          <w:lang w:val="el-GR"/>
        </w:rPr>
        <w:t xml:space="preserve"> δεν πρέπει να είναι ο ίδιος άνθρωπος που αποφασίζει την εμπορική θέση, διότι τότε υπάρχει σύγκρουση κινήτρων. Αυτό που για τον </w:t>
      </w:r>
      <w:r>
        <w:t>trader</w:t>
      </w:r>
      <w:r w:rsidRPr="005B30C1">
        <w:rPr>
          <w:lang w:val="el-GR"/>
        </w:rPr>
        <w:t xml:space="preserve"> μπορεί να φαίνεται ως ευκαιρία απόδοσης, για τον </w:t>
      </w:r>
      <w:r>
        <w:t>risk</w:t>
      </w:r>
      <w:r w:rsidRPr="005B30C1">
        <w:rPr>
          <w:lang w:val="el-GR"/>
        </w:rPr>
        <w:t xml:space="preserve"> </w:t>
      </w:r>
      <w:r>
        <w:t>manager</w:t>
      </w:r>
      <w:r w:rsidRPr="005B30C1">
        <w:rPr>
          <w:lang w:val="el-GR"/>
        </w:rPr>
        <w:t xml:space="preserve"> πρέπει να αξιολογείται ως πιθανή πηγή ζημίας.</w:t>
      </w:r>
    </w:p>
    <w:p w14:paraId="52BFF21B" w14:textId="77777777" w:rsidR="00FC097F" w:rsidRPr="005B30C1" w:rsidRDefault="00FC097F" w:rsidP="00FC097F">
      <w:pPr>
        <w:pStyle w:val="af"/>
        <w:rPr>
          <w:lang w:val="el-GR"/>
        </w:rPr>
      </w:pPr>
      <w:r w:rsidRPr="005B30C1">
        <w:rPr>
          <w:lang w:val="el-GR"/>
        </w:rPr>
        <w:t xml:space="preserve">Η διάκριση αυτή βοηθά και στη σωστή τοποθέτηση της παρούσας εργασίας. Ο βασικός κορμός της εργασίας είναι η μέτρηση και αξιολόγηση του κινδύνου αγοράς. Η αντιστάθμιση εισάγεται στη συνέχεια ως εφαρμογή, όχι ως αντικατάσταση της μέτρησης. Με άλλα λόγια, η εργασία πρώτα απαντά στο ερώτημα «πόσος είναι ο κίνδυνος και πόσο αξιόπιστα τον μετρά το μοντέλο;» και στη συνέχεια στο ερώτημα «τι συμβαίνει στον κίνδυνο αν εφαρμοστεί μια στρατηγική αντιστάθμισης;». Αυτή η σειρά είναι κρίσιμη, διότι μια στρατηγική </w:t>
      </w:r>
      <w:r>
        <w:t>hedging</w:t>
      </w:r>
      <w:r w:rsidRPr="005B30C1">
        <w:rPr>
          <w:lang w:val="el-GR"/>
        </w:rPr>
        <w:t xml:space="preserve"> δεν μπορεί να αξιολογηθεί σοβαρά αν δεν έχει προηγηθεί σαφής μέτρηση του αρχικού κινδύνου.</w:t>
      </w:r>
    </w:p>
    <w:p w14:paraId="28B7C7E5" w14:textId="77777777" w:rsidR="00FC097F" w:rsidRPr="005B30C1" w:rsidRDefault="00FC097F" w:rsidP="00FC097F">
      <w:pPr>
        <w:pStyle w:val="28"/>
        <w:spacing w:after="120"/>
        <w:rPr>
          <w:lang w:val="el-GR"/>
        </w:rPr>
      </w:pPr>
      <w:bookmarkStart w:id="14" w:name="αντικείμενο-και-στόχοι-της-εργασίας"/>
      <w:bookmarkEnd w:id="13"/>
      <w:r w:rsidRPr="005B30C1">
        <w:rPr>
          <w:rFonts w:ascii="Times New Roman" w:eastAsia="Times New Roman" w:hAnsi="Times New Roman"/>
          <w:sz w:val="24"/>
          <w:lang w:val="el-GR"/>
        </w:rPr>
        <w:t>1.5 Αντικείμενο και στόχοι της εργασίας</w:t>
      </w:r>
    </w:p>
    <w:p w14:paraId="2D7C6253" w14:textId="77777777" w:rsidR="00FC097F" w:rsidRPr="005B30C1" w:rsidRDefault="00FC097F" w:rsidP="00FC097F">
      <w:pPr>
        <w:pStyle w:val="af"/>
        <w:ind w:firstLine="357"/>
        <w:rPr>
          <w:lang w:val="el-GR"/>
        </w:rPr>
      </w:pPr>
      <w:r w:rsidRPr="00FC097F">
        <w:rPr>
          <w:lang w:val="el-GR"/>
        </w:rPr>
        <w:t xml:space="preserve">Η ερευνητική αφετηρία της παρούσας εργασίας είναι ότι ο κίνδυνος αγοράς παραμένει μία από τις πιο άμεσες και δυναμικές πηγές ζημίας για χρηματοπιστωτικούς οργανισμούς και επενδυτικά χαρτοφυλάκια. Η περίοδος 2020-2025 περιλαμβάνει έντονες μεταβολές στις αγορές, όπως η πανδημία </w:t>
      </w:r>
      <w:r>
        <w:t>COVID</w:t>
      </w:r>
      <w:r w:rsidRPr="00FC097F">
        <w:rPr>
          <w:lang w:val="el-GR"/>
        </w:rPr>
        <w:t>-19, οι πληθωριστικές πιέσεις, η άνοδος των επιτοκίων και η αυξημένη αβεβαιότητα στις αποτιμήσεις. Σε ένα τέτοιο περιβάλλον, η διοίκηση ενός οργανισμού δεν αρκεί να γνωρίζει μόνο την απόδοση ενός χαρτοφυλακίου. Πρέπει να μπορεί να εκτιμά με συστηματικό τρόπο τη δυνητική ζημία, να ελέγχει αν τα μοντέλα κινδύνου λειτουργούν αξιόπιστα και να συνδέει τη μέτρηση του κινδύνου με συγκεκριμένες αποφάσεις μείωσης της έκθεσης.</w:t>
      </w:r>
    </w:p>
    <w:p w14:paraId="17D4E498" w14:textId="77777777" w:rsidR="00FC097F" w:rsidRPr="005B30C1" w:rsidRDefault="00FC097F" w:rsidP="00FC097F">
      <w:pPr>
        <w:pStyle w:val="af"/>
        <w:rPr>
          <w:lang w:val="el-GR"/>
        </w:rPr>
      </w:pPr>
      <w:r w:rsidRPr="00FC097F">
        <w:rPr>
          <w:lang w:val="el-GR"/>
        </w:rPr>
        <w:t xml:space="preserve">Το αντικείμενο της εργασίας είναι η μέτρηση και αξιολόγηση του κινδύνου αγοράς ενός ισοσταθμισμένου χαρτοφυλακίου τριών αμερικανικών μετοχών, της </w:t>
      </w:r>
      <w:r>
        <w:t>Coca</w:t>
      </w:r>
      <w:r w:rsidRPr="00FC097F">
        <w:rPr>
          <w:lang w:val="el-GR"/>
        </w:rPr>
        <w:t>-</w:t>
      </w:r>
      <w:r>
        <w:t>Cola</w:t>
      </w:r>
      <w:r w:rsidRPr="00FC097F">
        <w:rPr>
          <w:lang w:val="el-GR"/>
        </w:rPr>
        <w:t xml:space="preserve"> </w:t>
      </w:r>
      <w:r>
        <w:t>Company</w:t>
      </w:r>
      <w:r w:rsidRPr="00FC097F">
        <w:rPr>
          <w:lang w:val="el-GR"/>
        </w:rPr>
        <w:t xml:space="preserve">, της </w:t>
      </w:r>
      <w:r>
        <w:t>Microsoft</w:t>
      </w:r>
      <w:r w:rsidRPr="00FC097F">
        <w:rPr>
          <w:lang w:val="el-GR"/>
        </w:rPr>
        <w:t xml:space="preserve"> </w:t>
      </w:r>
      <w:r>
        <w:t>Corporation</w:t>
      </w:r>
      <w:r w:rsidRPr="00FC097F">
        <w:rPr>
          <w:lang w:val="el-GR"/>
        </w:rPr>
        <w:t xml:space="preserve"> και της </w:t>
      </w:r>
      <w:r>
        <w:t>JPMorgan</w:t>
      </w:r>
      <w:r w:rsidRPr="00FC097F">
        <w:rPr>
          <w:lang w:val="el-GR"/>
        </w:rPr>
        <w:t xml:space="preserve"> </w:t>
      </w:r>
      <w:r>
        <w:t>Chase</w:t>
      </w:r>
      <w:r w:rsidRPr="00FC097F">
        <w:rPr>
          <w:lang w:val="el-GR"/>
        </w:rPr>
        <w:t xml:space="preserve"> &amp; </w:t>
      </w:r>
      <w:r>
        <w:t>Co</w:t>
      </w:r>
      <w:r w:rsidRPr="00FC097F">
        <w:rPr>
          <w:lang w:val="el-GR"/>
        </w:rPr>
        <w:t>. Το χαρτοφυλάκιο επιλέγεται ώστε να περιλαμβάνει διαφορετικούς επιχειρηματικούς κλάδους και να επιτρέπει την αξιολόγηση του κινδύνου σε ένα απλό αλλά ουσιαστικό πλαίσιο. Η περίοδος ανάλυσης καλύπτει τα έτη 2020-2025, δηλαδή μια περίοδο με έντονες εναλλαγές μεταβλητότητας και σημαντικές μεταβολές στο μακροοικονομικό περιβάλλον.</w:t>
      </w:r>
    </w:p>
    <w:p w14:paraId="5D5257E9" w14:textId="77777777" w:rsidR="00FC097F" w:rsidRPr="005B30C1" w:rsidRDefault="00FC097F" w:rsidP="00FC097F">
      <w:pPr>
        <w:pStyle w:val="af"/>
        <w:rPr>
          <w:lang w:val="el-GR"/>
        </w:rPr>
      </w:pPr>
      <w:r w:rsidRPr="00FC097F">
        <w:rPr>
          <w:lang w:val="el-GR"/>
        </w:rPr>
        <w:t xml:space="preserve">Ο βασικός σκοπός της εργασίας δεν είναι ο μηχανικός υπολογισμός ενός αριθμού </w:t>
      </w:r>
      <w:proofErr w:type="spellStart"/>
      <w:r>
        <w:t>VaR</w:t>
      </w:r>
      <w:proofErr w:type="spellEnd"/>
      <w:r w:rsidRPr="00FC097F">
        <w:rPr>
          <w:lang w:val="el-GR"/>
        </w:rPr>
        <w:t xml:space="preserve">, αλλά η εμπειρική αξιολόγηση της αξιοπιστίας δύο διαφορετικών μεθόδων </w:t>
      </w:r>
      <w:r>
        <w:t>Value</w:t>
      </w:r>
      <w:r w:rsidRPr="00FC097F">
        <w:rPr>
          <w:lang w:val="el-GR"/>
        </w:rPr>
        <w:t xml:space="preserve"> </w:t>
      </w:r>
      <w:r>
        <w:t>at</w:t>
      </w:r>
      <w:r w:rsidRPr="00FC097F">
        <w:rPr>
          <w:lang w:val="el-GR"/>
        </w:rPr>
        <w:t xml:space="preserve"> </w:t>
      </w:r>
      <w:r>
        <w:t>Risk</w:t>
      </w:r>
      <w:r w:rsidRPr="00FC097F">
        <w:rPr>
          <w:lang w:val="el-GR"/>
        </w:rPr>
        <w:t xml:space="preserve">. Η </w:t>
      </w:r>
      <w:r>
        <w:t>Historical</w:t>
      </w:r>
      <w:r w:rsidRPr="00FC097F">
        <w:rPr>
          <w:lang w:val="el-GR"/>
        </w:rPr>
        <w:t xml:space="preserve"> </w:t>
      </w:r>
      <w:proofErr w:type="spellStart"/>
      <w:r>
        <w:lastRenderedPageBreak/>
        <w:t>VaR</w:t>
      </w:r>
      <w:proofErr w:type="spellEnd"/>
      <w:r w:rsidRPr="00FC097F">
        <w:rPr>
          <w:lang w:val="el-GR"/>
        </w:rPr>
        <w:t xml:space="preserve"> επιλέγεται επειδή στηρίζεται στην εμπειρική κατανομή των ιστορικών αποδόσεων, ενώ η </w:t>
      </w:r>
      <w:r>
        <w:t>EWMA</w:t>
      </w:r>
      <w:r w:rsidRPr="00FC097F">
        <w:rPr>
          <w:lang w:val="el-GR"/>
        </w:rPr>
        <w:t xml:space="preserve"> </w:t>
      </w:r>
      <w:proofErr w:type="spellStart"/>
      <w:r>
        <w:t>VaR</w:t>
      </w:r>
      <w:proofErr w:type="spellEnd"/>
      <w:r w:rsidRPr="00FC097F">
        <w:rPr>
          <w:lang w:val="el-GR"/>
        </w:rPr>
        <w:t xml:space="preserve"> επιλέγεται επειδή προσαρμόζει δυναμικά τη μεταβλητότητα δίνοντας μεγαλύτερη βαρύτητα στις πρόσφατες παρατηρήσεις. Μετά τον υπολογισμό της </w:t>
      </w:r>
      <w:proofErr w:type="spellStart"/>
      <w:r>
        <w:t>VaR</w:t>
      </w:r>
      <w:proofErr w:type="spellEnd"/>
      <w:r w:rsidRPr="00FC097F">
        <w:rPr>
          <w:lang w:val="el-GR"/>
        </w:rPr>
        <w:t xml:space="preserve">, εφαρμόζεται </w:t>
      </w:r>
      <w:proofErr w:type="spellStart"/>
      <w:r>
        <w:t>backtesting</w:t>
      </w:r>
      <w:proofErr w:type="spellEnd"/>
      <w:r w:rsidRPr="00FC097F">
        <w:rPr>
          <w:lang w:val="el-GR"/>
        </w:rPr>
        <w:t xml:space="preserve"> με τον έλεγχο </w:t>
      </w:r>
      <w:r>
        <w:t>Kupiec</w:t>
      </w:r>
      <w:r w:rsidRPr="00FC097F">
        <w:rPr>
          <w:lang w:val="el-GR"/>
        </w:rPr>
        <w:t>, ώστε να εξεταστεί αν ο αριθμός των εξαιρέσεων είναι συμβατός με το επίπεδο εμπιστοσύνης 99%.</w:t>
      </w:r>
    </w:p>
    <w:p w14:paraId="3B03646E" w14:textId="77777777" w:rsidR="00FC097F" w:rsidRPr="005B30C1" w:rsidRDefault="00FC097F" w:rsidP="00FC097F">
      <w:pPr>
        <w:pStyle w:val="af"/>
        <w:rPr>
          <w:lang w:val="el-GR"/>
        </w:rPr>
      </w:pPr>
      <w:r w:rsidRPr="00FC097F">
        <w:rPr>
          <w:lang w:val="el-GR"/>
        </w:rPr>
        <w:t xml:space="preserve">Ως δεύτερος στόχος, η εργασία εξετάζει τη σύνδεση της μέτρησης κινδύνου με μια διαχειριστική ενέργεια μείωσης της έκθεσης. Για τον λόγο αυτό εφαρμόζεται αντιστάθμιση με </w:t>
      </w:r>
      <w:r>
        <w:t>E</w:t>
      </w:r>
      <w:r w:rsidRPr="00FC097F">
        <w:rPr>
          <w:lang w:val="el-GR"/>
        </w:rPr>
        <w:t>-</w:t>
      </w:r>
      <w:r>
        <w:t>mini</w:t>
      </w:r>
      <w:r w:rsidRPr="00FC097F">
        <w:rPr>
          <w:lang w:val="el-GR"/>
        </w:rPr>
        <w:t xml:space="preserve"> </w:t>
      </w:r>
      <w:r>
        <w:t>S</w:t>
      </w:r>
      <w:r w:rsidRPr="00FC097F">
        <w:rPr>
          <w:lang w:val="el-GR"/>
        </w:rPr>
        <w:t>&amp;</w:t>
      </w:r>
      <w:r>
        <w:t>P</w:t>
      </w:r>
      <w:r w:rsidRPr="00FC097F">
        <w:rPr>
          <w:lang w:val="el-GR"/>
        </w:rPr>
        <w:t xml:space="preserve"> 500 </w:t>
      </w:r>
      <w:r>
        <w:t>futures</w:t>
      </w:r>
      <w:r w:rsidRPr="00FC097F">
        <w:rPr>
          <w:lang w:val="el-GR"/>
        </w:rPr>
        <w:t xml:space="preserve">. Η αντιστάθμιση δεν παρουσιάζεται ως ξεχωριστό θέμα αποκομμένο από τη </w:t>
      </w:r>
      <w:proofErr w:type="spellStart"/>
      <w:r>
        <w:t>VaR</w:t>
      </w:r>
      <w:proofErr w:type="spellEnd"/>
      <w:r w:rsidRPr="00FC097F">
        <w:rPr>
          <w:lang w:val="el-GR"/>
        </w:rPr>
        <w:t xml:space="preserve">, αλλά ως πρακτική συνέχεια της διαδικασίας </w:t>
      </w:r>
      <w:r>
        <w:t>risk</w:t>
      </w:r>
      <w:r w:rsidRPr="00FC097F">
        <w:rPr>
          <w:lang w:val="el-GR"/>
        </w:rPr>
        <w:t xml:space="preserve"> </w:t>
      </w:r>
      <w:r>
        <w:t>management</w:t>
      </w:r>
      <w:r w:rsidRPr="00FC097F">
        <w:rPr>
          <w:lang w:val="el-GR"/>
        </w:rPr>
        <w:t xml:space="preserve">: πρώτα </w:t>
      </w:r>
      <w:proofErr w:type="spellStart"/>
      <w:r w:rsidRPr="00FC097F">
        <w:rPr>
          <w:lang w:val="el-GR"/>
        </w:rPr>
        <w:t>μετράται</w:t>
      </w:r>
      <w:proofErr w:type="spellEnd"/>
      <w:r w:rsidRPr="00FC097F">
        <w:rPr>
          <w:lang w:val="el-GR"/>
        </w:rPr>
        <w:t xml:space="preserve"> και ελέγχεται ο κίνδυνος και στη συνέχεια εξετάζεται αν μια </w:t>
      </w:r>
      <w:r>
        <w:t>short</w:t>
      </w:r>
      <w:r w:rsidRPr="00FC097F">
        <w:rPr>
          <w:lang w:val="el-GR"/>
        </w:rPr>
        <w:t xml:space="preserve"> θέση σε </w:t>
      </w:r>
      <w:r>
        <w:t>futures</w:t>
      </w:r>
      <w:r w:rsidRPr="00FC097F">
        <w:rPr>
          <w:lang w:val="el-GR"/>
        </w:rPr>
        <w:t xml:space="preserve"> μειώνει τη μεταβλητότητα, τη </w:t>
      </w:r>
      <w:proofErr w:type="spellStart"/>
      <w:r>
        <w:t>VaR</w:t>
      </w:r>
      <w:proofErr w:type="spellEnd"/>
      <w:r w:rsidRPr="00FC097F">
        <w:rPr>
          <w:lang w:val="el-GR"/>
        </w:rPr>
        <w:t xml:space="preserve"> και τη συχνότητα των εξαιρέσεων.</w:t>
      </w:r>
    </w:p>
    <w:p w14:paraId="0C30A130" w14:textId="77777777" w:rsidR="00FC097F" w:rsidRPr="00FC097F" w:rsidRDefault="00FC097F" w:rsidP="00FC097F">
      <w:pPr>
        <w:pStyle w:val="af"/>
        <w:rPr>
          <w:lang w:val="el-GR"/>
        </w:rPr>
      </w:pPr>
      <w:r w:rsidRPr="00FC097F">
        <w:rPr>
          <w:lang w:val="el-GR"/>
        </w:rPr>
        <w:t xml:space="preserve">Τα κύρια ερευνητικά ερωτήματα είναι τα εξής: Πρώτον, ποιο είναι το μέγεθος του κινδύνου αγοράς του αρχικού χαρτοφυλακίου με βάση την </w:t>
      </w:r>
      <w:r>
        <w:t>Historical</w:t>
      </w:r>
      <w:r w:rsidRPr="00FC097F">
        <w:rPr>
          <w:lang w:val="el-GR"/>
        </w:rPr>
        <w:t xml:space="preserve"> </w:t>
      </w:r>
      <w:proofErr w:type="spellStart"/>
      <w:r>
        <w:t>VaR</w:t>
      </w:r>
      <w:proofErr w:type="spellEnd"/>
      <w:r w:rsidRPr="00FC097F">
        <w:rPr>
          <w:lang w:val="el-GR"/>
        </w:rPr>
        <w:t xml:space="preserve"> και την </w:t>
      </w:r>
      <w:r>
        <w:t>EWMA</w:t>
      </w:r>
      <w:r w:rsidRPr="00FC097F">
        <w:rPr>
          <w:lang w:val="el-GR"/>
        </w:rPr>
        <w:t xml:space="preserve"> </w:t>
      </w:r>
      <w:proofErr w:type="spellStart"/>
      <w:r>
        <w:t>VaR</w:t>
      </w:r>
      <w:proofErr w:type="spellEnd"/>
      <w:r w:rsidRPr="00FC097F">
        <w:rPr>
          <w:lang w:val="el-GR"/>
        </w:rPr>
        <w:t xml:space="preserve">; Δεύτερον, ποια από τις δύο μεθόδους εμφανίζει καλύτερη συμπεριφορά στο </w:t>
      </w:r>
      <w:proofErr w:type="spellStart"/>
      <w:r>
        <w:t>backtesting</w:t>
      </w:r>
      <w:proofErr w:type="spellEnd"/>
      <w:r w:rsidRPr="00FC097F">
        <w:rPr>
          <w:lang w:val="el-GR"/>
        </w:rPr>
        <w:t xml:space="preserve">; Τρίτον, σε ποιο βαθμό η αντιστάθμιση με </w:t>
      </w:r>
      <w:r>
        <w:t>futures</w:t>
      </w:r>
      <w:r w:rsidRPr="00FC097F">
        <w:rPr>
          <w:lang w:val="el-GR"/>
        </w:rPr>
        <w:t xml:space="preserve"> μειώνει τη μεταβλητότητα και τη </w:t>
      </w:r>
      <w:proofErr w:type="spellStart"/>
      <w:r>
        <w:t>VaR</w:t>
      </w:r>
      <w:proofErr w:type="spellEnd"/>
      <w:r w:rsidRPr="00FC097F">
        <w:rPr>
          <w:lang w:val="el-GR"/>
        </w:rPr>
        <w:t xml:space="preserve"> του χαρτοφυλακίου; Τέταρτον, βελτιώνεται η στατιστική αξιοπιστία των μοντέλων </w:t>
      </w:r>
      <w:proofErr w:type="spellStart"/>
      <w:r>
        <w:t>VaR</w:t>
      </w:r>
      <w:proofErr w:type="spellEnd"/>
      <w:r w:rsidRPr="00FC097F">
        <w:rPr>
          <w:lang w:val="el-GR"/>
        </w:rPr>
        <w:t xml:space="preserve"> μετά την αντιστάθμιση ή η αξιολόγηση των μοντέλων παραμένει ανεξάρτητη από τη μείωση του κινδύνου;</w:t>
      </w:r>
    </w:p>
    <w:p w14:paraId="40A45E04" w14:textId="77777777" w:rsidR="00FC097F" w:rsidRPr="00FC097F" w:rsidRDefault="00FC097F" w:rsidP="00FC097F">
      <w:pPr>
        <w:pStyle w:val="af"/>
        <w:rPr>
          <w:lang w:val="el-GR"/>
        </w:rPr>
      </w:pPr>
      <w:r w:rsidRPr="00FC097F">
        <w:rPr>
          <w:lang w:val="el-GR"/>
        </w:rPr>
        <w:t xml:space="preserve">Η δομή της εργασίας είναι η ακόλουθη. Το Κεφάλαιο 1 παρουσιάζει τη γενική προβληματική της διαχείρισης χρηματοοικονομικού κινδύνου, τα ιστορικά διδάγματα, το κανονιστικό πλαίσιο και τον λειτουργικό διαχωρισμό μεταξύ </w:t>
      </w:r>
      <w:r>
        <w:t>risk</w:t>
      </w:r>
      <w:r w:rsidRPr="00FC097F">
        <w:rPr>
          <w:lang w:val="el-GR"/>
        </w:rPr>
        <w:t xml:space="preserve"> </w:t>
      </w:r>
      <w:r>
        <w:t>management</w:t>
      </w:r>
      <w:r w:rsidRPr="00FC097F">
        <w:rPr>
          <w:lang w:val="el-GR"/>
        </w:rPr>
        <w:t xml:space="preserve"> και </w:t>
      </w:r>
      <w:r>
        <w:t>hedging</w:t>
      </w:r>
      <w:r w:rsidRPr="00FC097F">
        <w:rPr>
          <w:lang w:val="el-GR"/>
        </w:rPr>
        <w:t xml:space="preserve">. Το Κεφάλαιο 2 αναπτύσσει το θεωρητικό και βιβλιογραφικό υπόβαθρο της </w:t>
      </w:r>
      <w:proofErr w:type="spellStart"/>
      <w:r>
        <w:t>VaR</w:t>
      </w:r>
      <w:proofErr w:type="spellEnd"/>
      <w:r w:rsidRPr="00FC097F">
        <w:rPr>
          <w:lang w:val="el-GR"/>
        </w:rPr>
        <w:t xml:space="preserve">, της </w:t>
      </w:r>
      <w:r>
        <w:t>Historical</w:t>
      </w:r>
      <w:r w:rsidRPr="00FC097F">
        <w:rPr>
          <w:lang w:val="el-GR"/>
        </w:rPr>
        <w:t xml:space="preserve"> </w:t>
      </w:r>
      <w:r>
        <w:t>Simulation</w:t>
      </w:r>
      <w:r w:rsidRPr="00FC097F">
        <w:rPr>
          <w:lang w:val="el-GR"/>
        </w:rPr>
        <w:t xml:space="preserve">, της </w:t>
      </w:r>
      <w:r>
        <w:t>EWMA</w:t>
      </w:r>
      <w:r w:rsidRPr="00FC097F">
        <w:rPr>
          <w:lang w:val="el-GR"/>
        </w:rPr>
        <w:t xml:space="preserve">, του </w:t>
      </w:r>
      <w:proofErr w:type="spellStart"/>
      <w:r>
        <w:t>backtesting</w:t>
      </w:r>
      <w:proofErr w:type="spellEnd"/>
      <w:r w:rsidRPr="00FC097F">
        <w:rPr>
          <w:lang w:val="el-GR"/>
        </w:rPr>
        <w:t xml:space="preserve"> και της αντιστάθμισης με </w:t>
      </w:r>
      <w:r>
        <w:t>futures</w:t>
      </w:r>
      <w:r w:rsidRPr="00FC097F">
        <w:rPr>
          <w:lang w:val="el-GR"/>
        </w:rPr>
        <w:t>. Το Κεφάλαιο 3 περιγράφει τα δεδομένα, την κατασκευή του χαρτοφυλακίου, τους μαθηματικούς τύπους και τη μεθοδολογία υπολογισμού. Το Κεφάλαιο 4 παρουσιάζει τα εμπειρικά αποτελέσματα πριν και μετά την αντιστάθμιση, ενώ το Κεφάλαιο 5 συνοψίζει τα συμπεράσματα, τους περιορισμούς και τις προτάσεις για μελλοντική έρευνα.</w:t>
      </w:r>
    </w:p>
    <w:p w14:paraId="7CB7A667" w14:textId="77777777" w:rsidR="00FC097F" w:rsidRPr="005B30C1" w:rsidRDefault="00FC097F" w:rsidP="002455D5">
      <w:pPr>
        <w:pStyle w:val="1"/>
        <w:rPr>
          <w:lang w:val="el-GR"/>
        </w:rPr>
      </w:pPr>
      <w:bookmarkStart w:id="15" w:name="_Toc232171068"/>
      <w:bookmarkStart w:id="16" w:name="Xd25833dc419d4f8c1d03105c311b91fdf3e9ea6"/>
      <w:bookmarkEnd w:id="5"/>
      <w:bookmarkEnd w:id="14"/>
      <w:r w:rsidRPr="005B30C1">
        <w:rPr>
          <w:rFonts w:eastAsia="Times New Roman"/>
          <w:lang w:val="el-GR"/>
        </w:rPr>
        <w:lastRenderedPageBreak/>
        <w:t>Κεφάλαιο 2: Θεωρητικό και Βιβλιογραφικό Υπόβαθρο</w:t>
      </w:r>
      <w:bookmarkEnd w:id="15"/>
    </w:p>
    <w:p w14:paraId="2C77AD4A" w14:textId="77777777" w:rsidR="00FC097F" w:rsidRPr="005B30C1" w:rsidRDefault="00FC097F" w:rsidP="00321E2E">
      <w:pPr>
        <w:pStyle w:val="21"/>
        <w:rPr>
          <w:lang w:val="el-GR"/>
        </w:rPr>
      </w:pPr>
      <w:bookmarkStart w:id="17" w:name="_Toc232171069"/>
      <w:bookmarkStart w:id="18" w:name="η-έννοια-του-κινδύνου-αγοράς"/>
      <w:r w:rsidRPr="005B30C1">
        <w:rPr>
          <w:rFonts w:eastAsia="Times New Roman"/>
          <w:lang w:val="el-GR"/>
        </w:rPr>
        <w:t>2.1 Η έννοια του κινδύνου αγοράς</w:t>
      </w:r>
      <w:bookmarkEnd w:id="17"/>
    </w:p>
    <w:p w14:paraId="063FAAB5" w14:textId="77777777" w:rsidR="00FC097F" w:rsidRPr="005B30C1" w:rsidRDefault="00FC097F" w:rsidP="00FC097F">
      <w:pPr>
        <w:ind w:firstLine="357"/>
        <w:rPr>
          <w:lang w:val="el-GR"/>
        </w:rPr>
      </w:pPr>
      <w:r w:rsidRPr="005B30C1">
        <w:rPr>
          <w:lang w:val="el-GR"/>
        </w:rPr>
        <w:t>Ο κίνδυνος αγοράς αφορά την πιθανότητα απώλειας αξίας λόγω δυσμενών μεταβολών σε τιμές χρηματοοικονομικών μέσων και σε παράγοντες της αγοράς, όπως οι τιμές μετοχών, τα επιτόκια, οι συναλλαγματικές ισοτιμίες και οι τιμές παραγώγων. Στην περίπτωση ενός μετοχικού χαρτοφυλακίου, η πιο άμεση πηγή έκθεσης είναι η μεταβολή των τιμών των μετοχών. Η μεταβολή αυτή όμως δεν είναι απομονωμένη. Επηρεάζεται από μακροοικονομικές προσδοκίες, αποφάσεις νομισματικής πολιτικής, πληθωριστικές πιέσεις, κλαδικές εξελίξεις και τη συνολική διάθεση των επενδυτών για ανάληψη κινδύνου.</w:t>
      </w:r>
    </w:p>
    <w:p w14:paraId="5384856B" w14:textId="77777777" w:rsidR="00FC097F" w:rsidRPr="005B30C1" w:rsidRDefault="00FC097F" w:rsidP="00FC097F">
      <w:pPr>
        <w:pStyle w:val="af"/>
        <w:rPr>
          <w:lang w:val="el-GR"/>
        </w:rPr>
      </w:pPr>
      <w:r w:rsidRPr="005B30C1">
        <w:rPr>
          <w:lang w:val="el-GR"/>
        </w:rPr>
        <w:t xml:space="preserve">Για την κατανόηση του κινδύνου αγοράς είναι χρήσιμη η διάκριση μεταξύ συστηματικού και ειδικού κινδύνου. Ο συστηματικός κίνδυνος συνδέεται με τις γενικές κινήσεις της αγοράς και δεν μπορεί να εξαλειφθεί πλήρως μέσω απλής διαφοροποίησης. Ο ειδικός κίνδυνος αφορά επιμέρους χαρακτηριστικά μιας εταιρείας ή ενός κλάδου και μπορεί να περιοριστεί όταν το χαρτοφυλάκιο περιλαμβάνει τίτλους με διαφορετικές πηγές έκθεσης. Η διάκριση αυτή είναι ουσιώδης, διότι η αντιστάθμιση με </w:t>
      </w:r>
      <w:r>
        <w:t>futures</w:t>
      </w:r>
      <w:r w:rsidRPr="005B30C1">
        <w:rPr>
          <w:lang w:val="el-GR"/>
        </w:rPr>
        <w:t xml:space="preserve"> επί του </w:t>
      </w:r>
      <w:r>
        <w:t>S</w:t>
      </w:r>
      <w:r w:rsidRPr="005B30C1">
        <w:rPr>
          <w:lang w:val="el-GR"/>
        </w:rPr>
        <w:t>&amp;</w:t>
      </w:r>
      <w:r>
        <w:t>P</w:t>
      </w:r>
      <w:r w:rsidRPr="005B30C1">
        <w:rPr>
          <w:lang w:val="el-GR"/>
        </w:rPr>
        <w:t xml:space="preserve"> 500 στοχεύει κυρίως στο συστηματικό μέρος του κινδύνου και όχι στις ειδικές διακυμάνσεις κάθε μετοχής.</w:t>
      </w:r>
    </w:p>
    <w:p w14:paraId="1DFF4565" w14:textId="77777777" w:rsidR="00FC097F" w:rsidRPr="005B30C1" w:rsidRDefault="00FC097F" w:rsidP="00FC097F">
      <w:pPr>
        <w:pStyle w:val="af"/>
        <w:rPr>
          <w:lang w:val="el-GR"/>
        </w:rPr>
      </w:pPr>
      <w:r w:rsidRPr="005B30C1">
        <w:rPr>
          <w:lang w:val="el-GR"/>
        </w:rPr>
        <w:t xml:space="preserve">Η βιβλιογραφία της διαχείρισης κινδύνου δίνει ιδιαίτερη έμφαση στην εμπειρική συμπεριφορά των χρηματοοικονομικών αποδόσεων. Οι αποδόσεις των περιουσιακών στοιχείων συχνά αποκλίνουν από την υπόθεση της κανονικής κατανομής, καθώς παρουσιάζουν βαρύτερες ουρές, ασυμμετρίες, ακραίες παρατηρήσεις και μεταβαλλόμενη διακύμανση στον χρόνο. Ένα από τα σημαντικότερα εμπειρικά χαρακτηριστικά των χρηματοοικονομικών αγορών είναι η συσσώρευση της μεταβλητότητας, δηλαδή το φαινόμενο κατά το οποίο περίοδοι υψηλής μεταβλητότητας τείνουν να ακολουθούνται από περιόδους επίσης υψηλής μεταβλητότητας, ενώ περίοδοι ηρεμίας συνοδεύονται συνήθως από χαμηλότερες διακυμάνσεις. Το χαρακτηριστικό αυτό είναι ιδιαίτερα σημαντικό για τη μέτρηση του κινδύνου αγοράς, καθώς δικαιολογεί τη χρήση δυναμικών μεθόδων εκτίμησης της μεταβλητότητας, όπως η </w:t>
      </w:r>
      <w:r>
        <w:t>EWMA</w:t>
      </w:r>
      <w:r w:rsidRPr="005B30C1">
        <w:rPr>
          <w:lang w:val="el-GR"/>
        </w:rPr>
        <w:t>.</w:t>
      </w:r>
    </w:p>
    <w:p w14:paraId="65160044" w14:textId="77777777" w:rsidR="00FC097F" w:rsidRPr="005B30C1" w:rsidRDefault="00FC097F" w:rsidP="00FC097F">
      <w:pPr>
        <w:pStyle w:val="af"/>
        <w:rPr>
          <w:lang w:val="el-GR"/>
        </w:rPr>
      </w:pPr>
      <w:r w:rsidRPr="005B30C1">
        <w:rPr>
          <w:lang w:val="el-GR"/>
        </w:rPr>
        <w:t xml:space="preserve">Η </w:t>
      </w:r>
      <w:r>
        <w:t>EWMA</w:t>
      </w:r>
      <w:r w:rsidRPr="005B30C1">
        <w:rPr>
          <w:lang w:val="el-GR"/>
        </w:rPr>
        <w:t xml:space="preserve"> δεν αντιμετωπίζει πλήρως όλες τις μορφές μη κανονικότητας των αποδόσεων. Η συμβολή της βρίσκεται κυρίως στο ότι επιτρέπει στο υπόδειγμα να προσαρμόζεται ταχύτερα στις πρόσφατες μεταβολές της αγοράς, δίνοντας μεγαλύτερη βαρύτητα στις νεότερες </w:t>
      </w:r>
      <w:r w:rsidRPr="005B30C1">
        <w:rPr>
          <w:lang w:val="el-GR"/>
        </w:rPr>
        <w:lastRenderedPageBreak/>
        <w:t>τετραγωνισμένες αποδόσεις. Με αυτόν τον τρόπο συνδέεται περισσότερο με τη χρονικά μεταβαλλόμενη μεταβλητότητα και λιγότερο με την πλήρη περιγραφή των ακραίων ζημιών.</w:t>
      </w:r>
    </w:p>
    <w:p w14:paraId="181522F9" w14:textId="77777777" w:rsidR="00FC097F" w:rsidRPr="005B30C1" w:rsidRDefault="00FC097F" w:rsidP="00FC097F">
      <w:pPr>
        <w:pStyle w:val="af"/>
        <w:rPr>
          <w:lang w:val="el-GR"/>
        </w:rPr>
      </w:pPr>
      <w:r w:rsidRPr="005B30C1">
        <w:rPr>
          <w:lang w:val="el-GR"/>
        </w:rPr>
        <w:t>Σε επίπεδο χαρτοφυλακίου, ο κίνδυνος δεν εξαρτάται μόνο από τη μεταβλητότητα κάθε επιμέρους τίτλου, αλλά και από τον τρόπο με τον οποίο οι αποδόσεις των τίτλων κινούνται μεταξύ τους. Η χαμηλή συσχέτιση μπορεί να μειώσει τη συνολική μεταβλητότητα, ενώ η αύξηση των συσχετίσεων σε περιόδους κρίσης μπορεί να περιορίσει τα οφέλη της διαφοροποίησης. Για τον λόγο αυτό, η μελέτη ενός χαρτοφυλακίου τριών διαφορετικών μετοχών εξακολουθεί να απαιτεί μέτρηση του συνολικού κινδύνου αγοράς και όχι απλή εξέταση κάθε μετοχής ξεχωριστά.</w:t>
      </w:r>
    </w:p>
    <w:p w14:paraId="7DEB5E01" w14:textId="77777777" w:rsidR="00FC097F" w:rsidRPr="005B30C1" w:rsidRDefault="00FC097F" w:rsidP="00321E2E">
      <w:pPr>
        <w:pStyle w:val="21"/>
        <w:rPr>
          <w:lang w:val="el-GR"/>
        </w:rPr>
      </w:pPr>
      <w:bookmarkStart w:id="19" w:name="_Toc232171070"/>
      <w:bookmarkStart w:id="20" w:name="η-value-at-risk-ως-μέτρο-κινδύνου-αγοράς"/>
      <w:bookmarkEnd w:id="18"/>
      <w:r w:rsidRPr="005B30C1">
        <w:rPr>
          <w:rFonts w:eastAsia="Times New Roman"/>
          <w:lang w:val="el-GR"/>
        </w:rPr>
        <w:t xml:space="preserve">2.2 Η </w:t>
      </w:r>
      <w:r>
        <w:rPr>
          <w:rFonts w:eastAsia="Times New Roman"/>
        </w:rPr>
        <w:t>Value</w:t>
      </w:r>
      <w:r w:rsidRPr="005B30C1">
        <w:rPr>
          <w:rFonts w:eastAsia="Times New Roman"/>
          <w:lang w:val="el-GR"/>
        </w:rPr>
        <w:t xml:space="preserve"> </w:t>
      </w:r>
      <w:r>
        <w:rPr>
          <w:rFonts w:eastAsia="Times New Roman"/>
        </w:rPr>
        <w:t>at</w:t>
      </w:r>
      <w:r w:rsidRPr="005B30C1">
        <w:rPr>
          <w:rFonts w:eastAsia="Times New Roman"/>
          <w:lang w:val="el-GR"/>
        </w:rPr>
        <w:t xml:space="preserve"> </w:t>
      </w:r>
      <w:r>
        <w:rPr>
          <w:rFonts w:eastAsia="Times New Roman"/>
        </w:rPr>
        <w:t>Risk</w:t>
      </w:r>
      <w:r w:rsidRPr="005B30C1">
        <w:rPr>
          <w:rFonts w:eastAsia="Times New Roman"/>
          <w:lang w:val="el-GR"/>
        </w:rPr>
        <w:t xml:space="preserve"> ως μέτρο κινδύνου αγοράς</w:t>
      </w:r>
      <w:bookmarkEnd w:id="19"/>
    </w:p>
    <w:p w14:paraId="49824B5E" w14:textId="77777777" w:rsidR="00FC097F" w:rsidRPr="005B30C1" w:rsidRDefault="00FC097F" w:rsidP="00FC097F">
      <w:pPr>
        <w:ind w:firstLine="357"/>
        <w:rPr>
          <w:lang w:val="el-GR"/>
        </w:rPr>
      </w:pPr>
      <w:r w:rsidRPr="005B30C1">
        <w:rPr>
          <w:lang w:val="el-GR"/>
        </w:rPr>
        <w:t xml:space="preserve">Η </w:t>
      </w:r>
      <w:r>
        <w:t>Value</w:t>
      </w:r>
      <w:r w:rsidRPr="005B30C1">
        <w:rPr>
          <w:lang w:val="el-GR"/>
        </w:rPr>
        <w:t xml:space="preserve"> </w:t>
      </w:r>
      <w:r>
        <w:t>at</w:t>
      </w:r>
      <w:r w:rsidRPr="005B30C1">
        <w:rPr>
          <w:lang w:val="el-GR"/>
        </w:rPr>
        <w:t xml:space="preserve"> </w:t>
      </w:r>
      <w:r>
        <w:t>Risk</w:t>
      </w:r>
      <w:r w:rsidRPr="005B30C1">
        <w:rPr>
          <w:lang w:val="el-GR"/>
        </w:rPr>
        <w:t xml:space="preserve"> αποτελεί ένα από τα πιο διαδεδομένα μέτρα κινδύνου αγοράς. Η βασική της ιδέα είναι απλή: εκτιμά τη μέγιστη αναμενόμενη ζημία ενός χαρτοφυλακίου για συγκεκριμένο χρονικό ορίζοντα και επίπεδο εμπιστοσύνης, υπό κανονικές συνθήκες αγοράς. Για παράδειγμα, ημερήσιο </w:t>
      </w:r>
      <w:proofErr w:type="spellStart"/>
      <w:r>
        <w:t>VaR</w:t>
      </w:r>
      <w:proofErr w:type="spellEnd"/>
      <w:r w:rsidRPr="005B30C1">
        <w:rPr>
          <w:lang w:val="el-GR"/>
        </w:rPr>
        <w:t xml:space="preserve"> 99% ίσο με 2% σημαίνει ότι, με βάση το μοντέλο, υπάρχει πιθανότητα 1% η ημερήσια ζημία να υπερβεί το 2%. Αν η αξία του χαρτοφυλακίου είναι 1.000.000 ευρώ, το αντίστοιχο </w:t>
      </w:r>
      <w:proofErr w:type="spellStart"/>
      <w:r>
        <w:t>VaR</w:t>
      </w:r>
      <w:proofErr w:type="spellEnd"/>
      <w:r w:rsidRPr="005B30C1">
        <w:rPr>
          <w:lang w:val="el-GR"/>
        </w:rPr>
        <w:t xml:space="preserve"> είναι 20.000 ευρώ (</w:t>
      </w:r>
      <w:proofErr w:type="spellStart"/>
      <w:r w:rsidRPr="005B30C1">
        <w:rPr>
          <w:lang w:val="el-GR"/>
        </w:rPr>
        <w:t>Jorion</w:t>
      </w:r>
      <w:proofErr w:type="spellEnd"/>
      <w:r w:rsidRPr="005B30C1">
        <w:rPr>
          <w:lang w:val="el-GR"/>
        </w:rPr>
        <w:t xml:space="preserve">, 2007; </w:t>
      </w:r>
      <w:proofErr w:type="spellStart"/>
      <w:r w:rsidRPr="005B30C1">
        <w:rPr>
          <w:lang w:val="el-GR"/>
        </w:rPr>
        <w:t>Duffie</w:t>
      </w:r>
      <w:proofErr w:type="spellEnd"/>
      <w:r w:rsidRPr="005B30C1">
        <w:rPr>
          <w:lang w:val="el-GR"/>
        </w:rPr>
        <w:t xml:space="preserve"> &amp; </w:t>
      </w:r>
      <w:proofErr w:type="spellStart"/>
      <w:r w:rsidRPr="005B30C1">
        <w:rPr>
          <w:lang w:val="el-GR"/>
        </w:rPr>
        <w:t>Pan</w:t>
      </w:r>
      <w:proofErr w:type="spellEnd"/>
      <w:r w:rsidRPr="005B30C1">
        <w:rPr>
          <w:lang w:val="el-GR"/>
        </w:rPr>
        <w:t>, 1997).</w:t>
      </w:r>
    </w:p>
    <w:p w14:paraId="26922A7E" w14:textId="77777777" w:rsidR="00FC097F" w:rsidRPr="005B30C1" w:rsidRDefault="00FC097F" w:rsidP="00FC097F">
      <w:pPr>
        <w:pStyle w:val="af"/>
        <w:rPr>
          <w:lang w:val="el-GR"/>
        </w:rPr>
      </w:pPr>
      <w:r w:rsidRPr="005B30C1">
        <w:rPr>
          <w:lang w:val="el-GR"/>
        </w:rPr>
        <w:t xml:space="preserve">Μαθηματικά, για απόδοση χαρτοφυλακίου </w:t>
      </w:r>
      <w:r>
        <w:t>r</w:t>
      </w:r>
      <w:r w:rsidRPr="005B30C1">
        <w:rPr>
          <w:lang w:val="el-GR"/>
        </w:rPr>
        <w:t xml:space="preserve">ₚ,ₜ και επίπεδο εμπιστοσύνης </w:t>
      </w:r>
      <w:r>
        <w:t>c</w:t>
      </w:r>
      <w:r w:rsidRPr="005B30C1">
        <w:rPr>
          <w:lang w:val="el-GR"/>
        </w:rPr>
        <w:t xml:space="preserve">, η </w:t>
      </w:r>
      <w:proofErr w:type="spellStart"/>
      <w:r>
        <w:t>VaR</w:t>
      </w:r>
      <w:proofErr w:type="spellEnd"/>
      <w:r w:rsidRPr="005B30C1">
        <w:rPr>
          <w:lang w:val="el-GR"/>
        </w:rPr>
        <w:t xml:space="preserve"> μπορεί να οριστεί ως το αρνητικό </w:t>
      </w:r>
      <w:proofErr w:type="spellStart"/>
      <w:r w:rsidRPr="005B30C1">
        <w:rPr>
          <w:lang w:val="el-GR"/>
        </w:rPr>
        <w:t>ποσοστημόριο</w:t>
      </w:r>
      <w:proofErr w:type="spellEnd"/>
      <w:r w:rsidRPr="005B30C1">
        <w:rPr>
          <w:lang w:val="el-GR"/>
        </w:rPr>
        <w:t xml:space="preserve"> της κατανομής των αποδόσεων:</w:t>
      </w:r>
    </w:p>
    <w:p w14:paraId="5074F957" w14:textId="0FE98BA1" w:rsidR="00FC097F" w:rsidRPr="00FC097F" w:rsidRDefault="00B06BF3" w:rsidP="00FC097F">
      <w:pPr>
        <w:pStyle w:val="af"/>
        <w:tabs>
          <w:tab w:val="right" w:leader="dot" w:pos="8504"/>
          <w:tab w:val="right" w:pos="9072"/>
        </w:tabs>
        <w:jc w:val="center"/>
        <w:rPr>
          <w:lang w:val="el-GR"/>
        </w:rPr>
      </w:pPr>
      <m:oMath>
        <m:sSub>
          <m:sSubPr>
            <m:ctrlPr>
              <w:rPr>
                <w:rFonts w:ascii="Cambria Math" w:hAnsi="Cambria Math"/>
              </w:rPr>
            </m:ctrlPr>
          </m:sSubPr>
          <m:e>
            <m:r>
              <m:rPr>
                <m:sty m:val="p"/>
              </m:rPr>
              <w:rPr>
                <w:rFonts w:ascii="Cambria Math" w:hAnsi="Cambria Math"/>
              </w:rPr>
              <m:t>VaR</m:t>
            </m:r>
          </m:e>
          <m:sub>
            <m:r>
              <w:rPr>
                <w:rFonts w:ascii="Cambria Math" w:hAnsi="Cambria Math"/>
              </w:rPr>
              <m:t>c</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m:t>
        </m:r>
        <m:sSub>
          <m:sSubPr>
            <m:ctrlPr>
              <w:rPr>
                <w:rFonts w:ascii="Cambria Math" w:hAnsi="Cambria Math"/>
              </w:rPr>
            </m:ctrlPr>
          </m:sSubPr>
          <m:e>
            <m:r>
              <w:rPr>
                <w:rFonts w:ascii="Cambria Math" w:hAnsi="Cambria Math"/>
              </w:rPr>
              <m:t>Q</m:t>
            </m:r>
          </m:e>
          <m:sub>
            <m:r>
              <w:rPr>
                <w:rFonts w:ascii="Cambria Math" w:hAnsi="Cambria Math"/>
                <w:lang w:val="el-GR"/>
              </w:rPr>
              <m:t>1</m:t>
            </m:r>
            <m:r>
              <m:rPr>
                <m:sty m:val="p"/>
              </m:rPr>
              <w:rPr>
                <w:rFonts w:ascii="Cambria Math" w:hAnsi="Cambria Math"/>
                <w:lang w:val="el-GR"/>
              </w:rPr>
              <m:t>-</m:t>
            </m:r>
            <m:r>
              <w:rPr>
                <w:rFonts w:ascii="Cambria Math" w:hAnsi="Cambria Math"/>
              </w:rPr>
              <m:t>c</m:t>
            </m:r>
          </m:sub>
        </m:sSub>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sub>
            </m:sSub>
          </m:e>
        </m:d>
        <m:r>
          <w:rPr>
            <w:rFonts w:ascii="Cambria Math" w:hAnsi="Cambria Math"/>
            <w:lang w:val="el-GR"/>
          </w:rPr>
          <m:t xml:space="preserve"> </m:t>
        </m:r>
      </m:oMath>
      <w:r w:rsidR="00FC097F" w:rsidRPr="00FC097F">
        <w:rPr>
          <w:lang w:val="el-GR"/>
        </w:rPr>
        <w:t>(2.1)</w:t>
      </w:r>
    </w:p>
    <w:p w14:paraId="328E6914" w14:textId="77777777" w:rsidR="00FC097F" w:rsidRPr="005B30C1" w:rsidRDefault="00FC097F" w:rsidP="00FC097F">
      <w:pPr>
        <w:ind w:firstLine="357"/>
        <w:rPr>
          <w:lang w:val="el-GR"/>
        </w:rPr>
      </w:pPr>
      <w:r w:rsidRPr="005B30C1">
        <w:rPr>
          <w:lang w:val="el-GR"/>
        </w:rPr>
        <w:t xml:space="preserve">Η ανάλυση χρησιμοποιεί επίπεδο εμπιστοσύνης 99%, δηλαδή </w:t>
      </w:r>
      <w:r>
        <w:t>c</w:t>
      </w:r>
      <w:r w:rsidRPr="005B30C1">
        <w:rPr>
          <w:lang w:val="el-GR"/>
        </w:rPr>
        <w:t xml:space="preserve"> = 0,99. Επομένως εξετάζεται το κατώτερο 1% της κατανομής. Η </w:t>
      </w:r>
      <w:proofErr w:type="spellStart"/>
      <w:r>
        <w:t>VaR</w:t>
      </w:r>
      <w:proofErr w:type="spellEnd"/>
      <w:r w:rsidRPr="005B30C1">
        <w:rPr>
          <w:lang w:val="el-GR"/>
        </w:rPr>
        <w:t xml:space="preserve"> παρουσιάζεται ως θετικός αριθμός ζημίας, ώστε να είναι πιο εύκολη η ερμηνεία της. Αν η πραγματική απόδοση είναι μικρότερη από το αρνητικό της </w:t>
      </w:r>
      <w:proofErr w:type="spellStart"/>
      <w:r>
        <w:t>VaR</w:t>
      </w:r>
      <w:proofErr w:type="spellEnd"/>
      <w:r w:rsidRPr="005B30C1">
        <w:rPr>
          <w:lang w:val="el-GR"/>
        </w:rPr>
        <w:t>, τότε καταγράφεται εξαίρεση.</w:t>
      </w:r>
    </w:p>
    <w:p w14:paraId="1C620261" w14:textId="77777777" w:rsidR="00FC097F" w:rsidRPr="005B30C1" w:rsidRDefault="00FC097F" w:rsidP="00FC097F">
      <w:pPr>
        <w:pStyle w:val="af"/>
        <w:rPr>
          <w:lang w:val="el-GR"/>
        </w:rPr>
      </w:pPr>
      <w:r w:rsidRPr="005B30C1">
        <w:rPr>
          <w:lang w:val="el-GR"/>
        </w:rPr>
        <w:t xml:space="preserve">Το πλεονέκτημα της </w:t>
      </w:r>
      <w:proofErr w:type="spellStart"/>
      <w:r>
        <w:t>VaR</w:t>
      </w:r>
      <w:proofErr w:type="spellEnd"/>
      <w:r w:rsidRPr="005B30C1">
        <w:rPr>
          <w:lang w:val="el-GR"/>
        </w:rPr>
        <w:t xml:space="preserve"> είναι ότι συμπυκνώνει τον κίνδυνο σε ένα ενιαίο μέγεθος, το οποίο μπορεί να χρησιμοποιηθεί από διοίκηση, εποπτικές αρχές και διαχειριστές χαρτοφυλακίων. Επιτρέπει συγκρίσεις μεταξύ χαρτοφυλακίων, καθορισμό ορίων και παρακολούθηση της εξέλιξης του κινδύνου στον χρόνο. Παράλληλα, έχει σημαντικούς περιορισμούς. Δεν δείχνει πόσο μεγάλη θα είναι η ζημία εάν ξεπεραστεί το όριο της </w:t>
      </w:r>
      <w:proofErr w:type="spellStart"/>
      <w:r>
        <w:t>VaR</w:t>
      </w:r>
      <w:proofErr w:type="spellEnd"/>
      <w:r w:rsidRPr="005B30C1">
        <w:rPr>
          <w:lang w:val="el-GR"/>
        </w:rPr>
        <w:t>. Επίσης, μπορεί να υποεκτιμήσει τον κίνδυνο σε περιόδους κρίσης, ιδιαίτερα όταν η κατανομή εμφανίζει αυξημένη πιθανότητα ακραίων ζημιών ή όταν οι συσχετίσεις αλλάζουν απότομα.</w:t>
      </w:r>
    </w:p>
    <w:p w14:paraId="7701FC1B" w14:textId="77777777" w:rsidR="00FC097F" w:rsidRPr="005B30C1" w:rsidRDefault="00FC097F" w:rsidP="00FC097F">
      <w:pPr>
        <w:pStyle w:val="af"/>
        <w:rPr>
          <w:lang w:val="el-GR"/>
        </w:rPr>
      </w:pPr>
      <w:r w:rsidRPr="005B30C1">
        <w:rPr>
          <w:lang w:val="el-GR"/>
        </w:rPr>
        <w:lastRenderedPageBreak/>
        <w:t xml:space="preserve">Η </w:t>
      </w:r>
      <w:proofErr w:type="spellStart"/>
      <w:r>
        <w:t>VaR</w:t>
      </w:r>
      <w:proofErr w:type="spellEnd"/>
      <w:r w:rsidRPr="005B30C1">
        <w:rPr>
          <w:lang w:val="el-GR"/>
        </w:rPr>
        <w:t xml:space="preserve"> έγινε ιδιαίτερα δημοφιλής επειδή απαντά σε ένα απλό διοικητικό ερώτημα: πόση ζημία μπορεί να υποστεί ένα χαρτοφυλάκιο σε μια συγκεκριμένη περίοδο, με δεδομένο επίπεδο εμπιστοσύνης. Η ελκυστικότητά της βρίσκεται στο ότι μετατρέπει μια σύνθετη κατανομή πιθανών αποδόσεων σε έναν αριθμό που μπορεί να παρουσιαστεί στη διοίκηση, να συγκριθεί με όρια και να συνδεθεί με κεφαλαιακές απαιτήσεις. Για παράδειγμα, αν το ημερήσιο </w:t>
      </w:r>
      <w:proofErr w:type="spellStart"/>
      <w:r>
        <w:t>VaR</w:t>
      </w:r>
      <w:proofErr w:type="spellEnd"/>
      <w:r w:rsidRPr="005B30C1">
        <w:rPr>
          <w:lang w:val="el-GR"/>
        </w:rPr>
        <w:t xml:space="preserve"> 99% ενός χαρτοφυλακίου αξίας 1.000.000 ευρώ είναι 20.000 ευρώ, η ερμηνεία είναι ότι, υπό τις παραδοχές του μοντέλου, υπάρχει πιθανότητα 1% η ημερήσια ζημία να υπερβεί τις 20.000 ευρώ.</w:t>
      </w:r>
    </w:p>
    <w:p w14:paraId="223192D8" w14:textId="77777777" w:rsidR="00FC097F" w:rsidRPr="005B30C1" w:rsidRDefault="00FC097F" w:rsidP="00FC097F">
      <w:pPr>
        <w:pStyle w:val="af"/>
        <w:rPr>
          <w:lang w:val="el-GR"/>
        </w:rPr>
      </w:pPr>
      <w:r w:rsidRPr="005B30C1">
        <w:rPr>
          <w:lang w:val="el-GR"/>
        </w:rPr>
        <w:t xml:space="preserve">Η απλότητα αυτή, όμως, αποτελεί και πηγή κινδύνου. Η </w:t>
      </w:r>
      <w:proofErr w:type="spellStart"/>
      <w:r>
        <w:t>VaR</w:t>
      </w:r>
      <w:proofErr w:type="spellEnd"/>
      <w:r w:rsidRPr="005B30C1">
        <w:rPr>
          <w:lang w:val="el-GR"/>
        </w:rPr>
        <w:t xml:space="preserve"> δεν λέει πόσο μεγάλη μπορεί να είναι η ζημία αν ξεπεραστεί το όριο. Δύο χαρτοφυλάκια μπορεί να έχουν την ίδια </w:t>
      </w:r>
      <w:proofErr w:type="spellStart"/>
      <w:r>
        <w:t>VaR</w:t>
      </w:r>
      <w:proofErr w:type="spellEnd"/>
      <w:r w:rsidRPr="005B30C1">
        <w:rPr>
          <w:lang w:val="el-GR"/>
        </w:rPr>
        <w:t xml:space="preserve"> αλλά πολύ διαφορετικές ζημίες πέρα από το 1ο εκατοστημόριο. Για τον λόγο αυτό, η βιβλιογραφία συχνά συζητά το </w:t>
      </w:r>
      <w:r>
        <w:t>Expected</w:t>
      </w:r>
      <w:r w:rsidRPr="005B30C1">
        <w:rPr>
          <w:lang w:val="el-GR"/>
        </w:rPr>
        <w:t xml:space="preserve"> </w:t>
      </w:r>
      <w:r>
        <w:t>Shortfall</w:t>
      </w:r>
      <w:r w:rsidRPr="005B30C1">
        <w:rPr>
          <w:lang w:val="el-GR"/>
        </w:rPr>
        <w:t xml:space="preserve"> ως συμπληρωματικό μέτρο. Παρόλα αυτά, η </w:t>
      </w:r>
      <w:proofErr w:type="spellStart"/>
      <w:r>
        <w:t>VaR</w:t>
      </w:r>
      <w:proofErr w:type="spellEnd"/>
      <w:r w:rsidRPr="005B30C1">
        <w:rPr>
          <w:lang w:val="el-GR"/>
        </w:rPr>
        <w:t xml:space="preserve"> παραμένει ιδιαίτερα χρήσιμη για την παρούσα εργασία, διότι συνδέεται άμεσα με το </w:t>
      </w:r>
      <w:proofErr w:type="spellStart"/>
      <w:r>
        <w:t>backtesting</w:t>
      </w:r>
      <w:proofErr w:type="spellEnd"/>
      <w:r w:rsidRPr="005B30C1">
        <w:rPr>
          <w:lang w:val="el-GR"/>
        </w:rPr>
        <w:t>: μπορούμε να μετρήσουμε πόσες φορές οι πραγματικές ζημίες υπερέβησαν την εκτίμηση και να ελέγξουμε στατιστικά αν το ποσοστό των υπερβάσεων είναι συμβατό με το επιλεγμένο επίπεδο εμπιστοσύνης.</w:t>
      </w:r>
    </w:p>
    <w:p w14:paraId="62DB25D5" w14:textId="77777777" w:rsidR="00FC097F" w:rsidRPr="005B30C1" w:rsidRDefault="00FC097F" w:rsidP="00321E2E">
      <w:pPr>
        <w:pStyle w:val="21"/>
        <w:rPr>
          <w:lang w:val="el-GR"/>
        </w:rPr>
      </w:pPr>
      <w:bookmarkStart w:id="21" w:name="_Toc232171071"/>
      <w:bookmarkStart w:id="22" w:name="βασικές-μέθοδοι-υπολογισμού-var"/>
      <w:bookmarkEnd w:id="20"/>
      <w:r w:rsidRPr="005B30C1">
        <w:rPr>
          <w:rFonts w:eastAsia="Times New Roman"/>
          <w:lang w:val="el-GR"/>
        </w:rPr>
        <w:t xml:space="preserve">2.3 Βασικές μέθοδοι υπολογισμού </w:t>
      </w:r>
      <w:proofErr w:type="spellStart"/>
      <w:r>
        <w:rPr>
          <w:rFonts w:eastAsia="Times New Roman"/>
        </w:rPr>
        <w:t>VaR</w:t>
      </w:r>
      <w:bookmarkEnd w:id="21"/>
      <w:proofErr w:type="spellEnd"/>
    </w:p>
    <w:p w14:paraId="0C475385" w14:textId="77777777" w:rsidR="00FC097F" w:rsidRPr="005B30C1" w:rsidRDefault="00FC097F" w:rsidP="00FC097F">
      <w:pPr>
        <w:ind w:firstLine="357"/>
        <w:rPr>
          <w:lang w:val="el-GR"/>
        </w:rPr>
      </w:pPr>
      <w:r w:rsidRPr="005B30C1">
        <w:rPr>
          <w:lang w:val="el-GR"/>
        </w:rPr>
        <w:t xml:space="preserve">Οι μέθοδοι υπολογισμού της </w:t>
      </w:r>
      <w:proofErr w:type="spellStart"/>
      <w:r>
        <w:t>VaR</w:t>
      </w:r>
      <w:proofErr w:type="spellEnd"/>
      <w:r w:rsidRPr="005B30C1">
        <w:rPr>
          <w:lang w:val="el-GR"/>
        </w:rPr>
        <w:t xml:space="preserve"> μπορούν να ομαδοποιηθούν σε τρεις βασικές κατηγορίες: παραμετρικές προσεγγίσεις, ιστορική προσομοίωση και προσομοίωση </w:t>
      </w:r>
      <w:r>
        <w:t>Monte</w:t>
      </w:r>
      <w:r w:rsidRPr="005B30C1">
        <w:rPr>
          <w:lang w:val="el-GR"/>
        </w:rPr>
        <w:t xml:space="preserve"> </w:t>
      </w:r>
      <w:r>
        <w:t>Carlo</w:t>
      </w:r>
      <w:r w:rsidRPr="005B30C1">
        <w:rPr>
          <w:lang w:val="el-GR"/>
        </w:rPr>
        <w:t>. Η διάκριση αυτή είναι χρήσιμη, επειδή κάθε κατηγορία στηρίζεται σε διαφορετικές υποθέσεις για τη συμπεριφορά των αποδόσεων και έχει διαφορετικές απαιτήσεις σε δεδομένα, υπολογισμούς και ερμηνεία.</w:t>
      </w:r>
    </w:p>
    <w:p w14:paraId="275BC173" w14:textId="77777777" w:rsidR="00FC097F" w:rsidRPr="005B30C1" w:rsidRDefault="00FC097F" w:rsidP="00FC097F">
      <w:pPr>
        <w:pStyle w:val="af"/>
        <w:rPr>
          <w:lang w:val="el-GR"/>
        </w:rPr>
      </w:pPr>
      <w:r w:rsidRPr="005B30C1">
        <w:rPr>
          <w:lang w:val="el-GR"/>
        </w:rPr>
        <w:t xml:space="preserve">Η παραμετρική, ή </w:t>
      </w:r>
      <w:r>
        <w:t>variance</w:t>
      </w:r>
      <w:r w:rsidRPr="005B30C1">
        <w:rPr>
          <w:lang w:val="el-GR"/>
        </w:rPr>
        <w:t>-</w:t>
      </w:r>
      <w:r>
        <w:t>covariance</w:t>
      </w:r>
      <w:r w:rsidRPr="005B30C1">
        <w:rPr>
          <w:lang w:val="el-GR"/>
        </w:rPr>
        <w:t xml:space="preserve">, προσέγγιση υποθέτει συνήθως ότι οι αποδόσεις μπορούν να </w:t>
      </w:r>
      <w:proofErr w:type="spellStart"/>
      <w:r w:rsidRPr="005B30C1">
        <w:rPr>
          <w:lang w:val="el-GR"/>
        </w:rPr>
        <w:t>περιγραφούν</w:t>
      </w:r>
      <w:proofErr w:type="spellEnd"/>
      <w:r w:rsidRPr="005B30C1">
        <w:rPr>
          <w:lang w:val="el-GR"/>
        </w:rPr>
        <w:t xml:space="preserve"> από μια συγκεκριμένη κατανομή, συχνά την κανονική. Το βασικό της πλεονέκτημα είναι η απλότητα και η ταχύτητα εφαρμογής, καθώς η </w:t>
      </w:r>
      <w:proofErr w:type="spellStart"/>
      <w:r>
        <w:t>VaR</w:t>
      </w:r>
      <w:proofErr w:type="spellEnd"/>
      <w:r w:rsidRPr="005B30C1">
        <w:rPr>
          <w:lang w:val="el-GR"/>
        </w:rPr>
        <w:t xml:space="preserve"> μπορεί να υπολογιστεί από τη μεταβλητότητα και τις συσχετίσεις. Το μειονέκτημα είναι ότι η ποιότητα του αποτελέσματος εξαρτάται άμεσα από την ορθότητα των υποθέσεων. Όταν οι αποδόσεις εμφανίζουν ασυμμετρία, έντονες ακραίες τιμές ή μη γραμμικές σχέσεις, μια απλή παραμετρική προσέγγιση μπορεί να υποεκτιμήσει τον κίνδυνο.</w:t>
      </w:r>
    </w:p>
    <w:p w14:paraId="06193219" w14:textId="77777777" w:rsidR="00FC097F" w:rsidRPr="005B30C1" w:rsidRDefault="00FC097F" w:rsidP="00FC097F">
      <w:pPr>
        <w:pStyle w:val="af"/>
        <w:rPr>
          <w:lang w:val="el-GR"/>
        </w:rPr>
      </w:pPr>
      <w:r w:rsidRPr="005B30C1">
        <w:rPr>
          <w:lang w:val="el-GR"/>
        </w:rPr>
        <w:t xml:space="preserve">Η ιστορική προσομοίωση δεν επιβάλλει συγκεκριμένη θεωρητική κατανομή. Χρησιμοποιεί την πραγματική εμπειρική κατανομή των προηγούμενων αποδόσεων και επιλέγει το κατάλληλο </w:t>
      </w:r>
      <w:proofErr w:type="spellStart"/>
      <w:r w:rsidRPr="005B30C1">
        <w:rPr>
          <w:lang w:val="el-GR"/>
        </w:rPr>
        <w:lastRenderedPageBreak/>
        <w:t>ποσοστημόριο</w:t>
      </w:r>
      <w:proofErr w:type="spellEnd"/>
      <w:r w:rsidRPr="005B30C1">
        <w:rPr>
          <w:lang w:val="el-GR"/>
        </w:rPr>
        <w:t xml:space="preserve"> ως εκτίμηση </w:t>
      </w:r>
      <w:proofErr w:type="spellStart"/>
      <w:r>
        <w:t>VaR</w:t>
      </w:r>
      <w:proofErr w:type="spellEnd"/>
      <w:r w:rsidRPr="005B30C1">
        <w:rPr>
          <w:lang w:val="el-GR"/>
        </w:rPr>
        <w:t>. Είναι διαφανής και κατανοητή, αλλά εξαρτάται έντονα από το ιστορικό παράθυρο. Εάν το παράθυρο δεν περιλαμβάνει περίοδο κρίσης, η εικόνα του κινδύνου μπορεί να είναι υπερβολικά αισιόδοξη. Αντίθετα, εάν περιλαμβάνει πρόσφατες ακραίες ζημίες, η εκτίμηση μπορεί να παραμένει συντηρητική ακόμη και όταν η αγορά έχει σταθεροποιηθεί.</w:t>
      </w:r>
    </w:p>
    <w:p w14:paraId="0FA389FB" w14:textId="77777777" w:rsidR="00FC097F" w:rsidRPr="005B30C1" w:rsidRDefault="00FC097F" w:rsidP="00FC097F">
      <w:pPr>
        <w:pStyle w:val="af"/>
        <w:rPr>
          <w:lang w:val="el-GR"/>
        </w:rPr>
      </w:pPr>
      <w:r w:rsidRPr="005B30C1">
        <w:rPr>
          <w:lang w:val="el-GR"/>
        </w:rPr>
        <w:t xml:space="preserve">Η προσομοίωση </w:t>
      </w:r>
      <w:r>
        <w:t>Monte</w:t>
      </w:r>
      <w:r w:rsidRPr="005B30C1">
        <w:rPr>
          <w:lang w:val="el-GR"/>
        </w:rPr>
        <w:t xml:space="preserve"> </w:t>
      </w:r>
      <w:r>
        <w:t>Carlo</w:t>
      </w:r>
      <w:r w:rsidRPr="005B30C1">
        <w:rPr>
          <w:lang w:val="el-GR"/>
        </w:rPr>
        <w:t xml:space="preserve"> δημιουργεί μεγάλο αριθμό πιθανών μελλοντικών σεναρίων με βάση ένα στοχαστικό υπόδειγμα. Είναι ευέλικτη και μπορεί να εφαρμοστεί σε σύνθετα προϊόντα ή μη γραμμικές αποδόσεις, αλλά απαιτεί περισσότερες υποθέσεις, μεγαλύτερη υπολογιστική ισχύ και προσεκτική επιλογή μοντέλου. Πέρα από τις τρεις βασικές κατηγορίες, η βιβλιογραφία χρησιμοποιεί και δυναμικά υποδείγματα μεταβλητότητας, όπως </w:t>
      </w:r>
      <w:r>
        <w:t>EWMA</w:t>
      </w:r>
      <w:r w:rsidRPr="005B30C1">
        <w:rPr>
          <w:lang w:val="el-GR"/>
        </w:rPr>
        <w:t xml:space="preserve"> και </w:t>
      </w:r>
      <w:r>
        <w:t>GARCH</w:t>
      </w:r>
      <w:r w:rsidRPr="005B30C1">
        <w:rPr>
          <w:lang w:val="el-GR"/>
        </w:rPr>
        <w:t xml:space="preserve">, τα οποία επιχειρούν να αποτυπώσουν τη μεταβολή της διακύμανσης στον χρόνο. Για τις ανάγκες της παρούσας ανάλυσης επιλέγονται η </w:t>
      </w:r>
      <w:r>
        <w:t>Historical</w:t>
      </w:r>
      <w:r w:rsidRPr="005B30C1">
        <w:rPr>
          <w:lang w:val="el-GR"/>
        </w:rPr>
        <w:t xml:space="preserve"> </w:t>
      </w:r>
      <w:proofErr w:type="spellStart"/>
      <w:r>
        <w:t>VaR</w:t>
      </w:r>
      <w:proofErr w:type="spellEnd"/>
      <w:r w:rsidRPr="005B30C1">
        <w:rPr>
          <w:lang w:val="el-GR"/>
        </w:rPr>
        <w:t xml:space="preserve"> και η </w:t>
      </w:r>
      <w:r>
        <w:t>EWMA</w:t>
      </w:r>
      <w:r w:rsidRPr="005B30C1">
        <w:rPr>
          <w:lang w:val="el-GR"/>
        </w:rPr>
        <w:t xml:space="preserve"> </w:t>
      </w:r>
      <w:proofErr w:type="spellStart"/>
      <w:r>
        <w:t>VaR</w:t>
      </w:r>
      <w:proofErr w:type="spellEnd"/>
      <w:r w:rsidRPr="005B30C1">
        <w:rPr>
          <w:lang w:val="el-GR"/>
        </w:rPr>
        <w:t xml:space="preserve">, επειδή συνδυάζουν θεωρητική βάση, διαφάνεια και δυνατότητα εφαρμογής στο </w:t>
      </w:r>
      <w:r>
        <w:t>Excel</w:t>
      </w:r>
      <w:r w:rsidRPr="005B30C1">
        <w:rPr>
          <w:lang w:val="el-GR"/>
        </w:rPr>
        <w:t>.</w:t>
      </w:r>
    </w:p>
    <w:p w14:paraId="0FF10BB2" w14:textId="77777777" w:rsidR="00FC097F" w:rsidRPr="005B30C1" w:rsidRDefault="00FC097F" w:rsidP="00321E2E">
      <w:pPr>
        <w:pStyle w:val="21"/>
        <w:rPr>
          <w:lang w:val="el-GR"/>
        </w:rPr>
      </w:pPr>
      <w:bookmarkStart w:id="23" w:name="_Toc232171072"/>
      <w:bookmarkStart w:id="24" w:name="historical-var"/>
      <w:bookmarkEnd w:id="22"/>
      <w:r w:rsidRPr="005B30C1">
        <w:rPr>
          <w:rFonts w:eastAsia="Times New Roman"/>
          <w:lang w:val="el-GR"/>
        </w:rPr>
        <w:t xml:space="preserve">2.4 </w:t>
      </w:r>
      <w:r>
        <w:rPr>
          <w:rFonts w:eastAsia="Times New Roman"/>
        </w:rPr>
        <w:t>Historical</w:t>
      </w:r>
      <w:r w:rsidRPr="005B30C1">
        <w:rPr>
          <w:rFonts w:eastAsia="Times New Roman"/>
          <w:lang w:val="el-GR"/>
        </w:rPr>
        <w:t xml:space="preserve"> </w:t>
      </w:r>
      <w:proofErr w:type="spellStart"/>
      <w:r>
        <w:rPr>
          <w:rFonts w:eastAsia="Times New Roman"/>
        </w:rPr>
        <w:t>VaR</w:t>
      </w:r>
      <w:bookmarkEnd w:id="23"/>
      <w:proofErr w:type="spellEnd"/>
    </w:p>
    <w:p w14:paraId="2D5A7745" w14:textId="77777777" w:rsidR="00FC097F" w:rsidRPr="005B30C1" w:rsidRDefault="00FC097F" w:rsidP="00FC097F">
      <w:pPr>
        <w:ind w:firstLine="357"/>
        <w:rPr>
          <w:lang w:val="el-GR"/>
        </w:rPr>
      </w:pPr>
      <w:r w:rsidRPr="005B30C1">
        <w:rPr>
          <w:lang w:val="el-GR"/>
        </w:rPr>
        <w:t xml:space="preserve">Η </w:t>
      </w:r>
      <w:r>
        <w:t>Historical</w:t>
      </w:r>
      <w:r w:rsidRPr="005B30C1">
        <w:rPr>
          <w:lang w:val="el-GR"/>
        </w:rPr>
        <w:t xml:space="preserve"> </w:t>
      </w:r>
      <w:proofErr w:type="spellStart"/>
      <w:r>
        <w:t>VaR</w:t>
      </w:r>
      <w:proofErr w:type="spellEnd"/>
      <w:r w:rsidRPr="005B30C1">
        <w:rPr>
          <w:lang w:val="el-GR"/>
        </w:rPr>
        <w:t xml:space="preserve"> βασίζεται στην εμπειρική κατανομή των ιστορικών αποδόσεων. Για κάθε ημέρα υπολογισμού, λαμβάνεται ένα κυλιόμενο παράθυρο προηγούμενων αποδόσεων, ταξινομούνται οι αποδόσεις και επιλέγεται το κατάλληλο </w:t>
      </w:r>
      <w:proofErr w:type="spellStart"/>
      <w:r w:rsidRPr="005B30C1">
        <w:rPr>
          <w:lang w:val="el-GR"/>
        </w:rPr>
        <w:t>ποσοστημόριο</w:t>
      </w:r>
      <w:proofErr w:type="spellEnd"/>
      <w:r w:rsidRPr="005B30C1">
        <w:rPr>
          <w:lang w:val="el-GR"/>
        </w:rPr>
        <w:t xml:space="preserve">. Στην εργασία χρησιμοποιείται παράθυρο 250 ημερών, το οποίο προσεγγίζει ένα χρηματιστηριακό έτος. Η ημερήσια </w:t>
      </w:r>
      <w:r>
        <w:t>Historical</w:t>
      </w:r>
      <w:r w:rsidRPr="005B30C1">
        <w:rPr>
          <w:lang w:val="el-GR"/>
        </w:rPr>
        <w:t xml:space="preserve"> </w:t>
      </w:r>
      <w:proofErr w:type="spellStart"/>
      <w:r>
        <w:t>VaR</w:t>
      </w:r>
      <w:proofErr w:type="spellEnd"/>
      <w:r w:rsidRPr="005B30C1">
        <w:rPr>
          <w:lang w:val="el-GR"/>
        </w:rPr>
        <w:t xml:space="preserve"> σε επίπεδο εμπιστοσύνης 99% δίνεται από τη σχέση:</w:t>
      </w:r>
      <w:r w:rsidRPr="00FC097F">
        <w:rPr>
          <w:lang w:val="el-GR"/>
        </w:rPr>
        <w:t xml:space="preserve"> (</w:t>
      </w:r>
      <w:r>
        <w:t>Hendricks</w:t>
      </w:r>
      <w:r w:rsidRPr="00FC097F">
        <w:rPr>
          <w:lang w:val="el-GR"/>
        </w:rPr>
        <w:t xml:space="preserve">, 1996; </w:t>
      </w:r>
      <w:r>
        <w:t>Alexander</w:t>
      </w:r>
      <w:r w:rsidRPr="00FC097F">
        <w:rPr>
          <w:lang w:val="el-GR"/>
        </w:rPr>
        <w:t>, 2008)</w:t>
      </w:r>
    </w:p>
    <w:p w14:paraId="029E501C" w14:textId="3E9B0438" w:rsidR="00FC097F" w:rsidRPr="00FC097F" w:rsidRDefault="00B06BF3" w:rsidP="00FC097F">
      <w:pPr>
        <w:pStyle w:val="af"/>
        <w:tabs>
          <w:tab w:val="right" w:leader="dot" w:pos="8504"/>
          <w:tab w:val="right" w:pos="9072"/>
        </w:tabs>
        <w:jc w:val="center"/>
        <w:rPr>
          <w:lang w:val="el-GR"/>
        </w:rPr>
      </w:pPr>
      <m:oMath>
        <m:sSubSup>
          <m:sSubSupPr>
            <m:ctrlPr>
              <w:rPr>
                <w:rFonts w:ascii="Cambria Math" w:hAnsi="Cambria Math"/>
              </w:rPr>
            </m:ctrlPr>
          </m:sSubSupPr>
          <m:e>
            <m:r>
              <m:rPr>
                <m:sty m:val="p"/>
              </m:rPr>
              <w:rPr>
                <w:rFonts w:ascii="Cambria Math" w:hAnsi="Cambria Math"/>
              </w:rPr>
              <m:t>VaR</m:t>
            </m:r>
          </m:e>
          <m:sub>
            <m:r>
              <w:rPr>
                <w:rFonts w:ascii="Cambria Math" w:hAnsi="Cambria Math"/>
                <w:lang w:val="el-GR"/>
              </w:rPr>
              <m:t>0.99</m:t>
            </m:r>
            <m:r>
              <m:rPr>
                <m:sty m:val="p"/>
              </m:rPr>
              <w:rPr>
                <w:rFonts w:ascii="Cambria Math" w:hAnsi="Cambria Math"/>
                <w:lang w:val="el-GR"/>
              </w:rPr>
              <m:t>,</m:t>
            </m:r>
            <m:r>
              <w:rPr>
                <w:rFonts w:ascii="Cambria Math" w:hAnsi="Cambria Math"/>
              </w:rPr>
              <m:t>t</m:t>
            </m:r>
          </m:sub>
          <m:sup>
            <m:r>
              <w:rPr>
                <w:rFonts w:ascii="Cambria Math" w:hAnsi="Cambria Math"/>
              </w:rPr>
              <m:t>HS</m:t>
            </m:r>
          </m:sup>
        </m:sSubSup>
        <m:r>
          <m:rPr>
            <m:sty m:val="p"/>
          </m:rPr>
          <w:rPr>
            <w:rFonts w:ascii="Cambria Math" w:hAnsi="Cambria Math"/>
            <w:lang w:val="el-GR"/>
          </w:rPr>
          <m:t>=-</m:t>
        </m:r>
        <m:sSub>
          <m:sSubPr>
            <m:ctrlPr>
              <w:rPr>
                <w:rFonts w:ascii="Cambria Math" w:hAnsi="Cambria Math"/>
              </w:rPr>
            </m:ctrlPr>
          </m:sSubPr>
          <m:e>
            <m:r>
              <w:rPr>
                <w:rFonts w:ascii="Cambria Math" w:hAnsi="Cambria Math"/>
              </w:rPr>
              <m:t>Q</m:t>
            </m:r>
          </m:e>
          <m:sub>
            <m:r>
              <w:rPr>
                <w:rFonts w:ascii="Cambria Math" w:hAnsi="Cambria Math"/>
                <w:lang w:val="el-GR"/>
              </w:rPr>
              <m:t>0.01</m:t>
            </m:r>
          </m:sub>
        </m:sSub>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r>
                  <m:rPr>
                    <m:sty m:val="p"/>
                  </m:rPr>
                  <w:rPr>
                    <w:rFonts w:ascii="Cambria Math" w:hAnsi="Cambria Math"/>
                    <w:lang w:val="el-GR"/>
                  </w:rPr>
                  <m:t>-</m:t>
                </m:r>
                <m:r>
                  <w:rPr>
                    <w:rFonts w:ascii="Cambria Math" w:hAnsi="Cambria Math"/>
                    <w:lang w:val="el-GR"/>
                  </w:rPr>
                  <m:t>249</m:t>
                </m:r>
              </m:sub>
            </m:sSub>
            <m:r>
              <m:rPr>
                <m:sty m:val="p"/>
              </m:rPr>
              <w:rPr>
                <w:rFonts w:ascii="Cambria Math" w:hAnsi="Cambria Math"/>
                <w:lang w:val="el-GR"/>
              </w:rPr>
              <m:t>,</m:t>
            </m:r>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r>
                  <m:rPr>
                    <m:sty m:val="p"/>
                  </m:rPr>
                  <w:rPr>
                    <w:rFonts w:ascii="Cambria Math" w:hAnsi="Cambria Math"/>
                    <w:lang w:val="el-GR"/>
                  </w:rPr>
                  <m:t>-</m:t>
                </m:r>
                <m:r>
                  <w:rPr>
                    <w:rFonts w:ascii="Cambria Math" w:hAnsi="Cambria Math"/>
                    <w:lang w:val="el-GR"/>
                  </w:rPr>
                  <m:t>248</m:t>
                </m:r>
              </m:sub>
            </m:sSub>
            <m:r>
              <m:rPr>
                <m:sty m:val="p"/>
              </m:rPr>
              <w:rPr>
                <w:rFonts w:ascii="Cambria Math" w:hAnsi="Cambria Math"/>
                <w:lang w:val="el-GR"/>
              </w:rPr>
              <m:t>,…,</m:t>
            </m:r>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sub>
            </m:sSub>
          </m:e>
        </m:d>
        <m:r>
          <w:rPr>
            <w:rFonts w:ascii="Cambria Math" w:hAnsi="Cambria Math"/>
            <w:lang w:val="el-GR"/>
          </w:rPr>
          <m:t xml:space="preserve"> </m:t>
        </m:r>
      </m:oMath>
      <w:r w:rsidR="00FC097F" w:rsidRPr="00FC097F">
        <w:rPr>
          <w:lang w:val="el-GR"/>
        </w:rPr>
        <w:t>(2.2)</w:t>
      </w:r>
    </w:p>
    <w:p w14:paraId="0E7404F0" w14:textId="77777777" w:rsidR="00FC097F" w:rsidRPr="005B30C1" w:rsidRDefault="00FC097F" w:rsidP="00FC097F">
      <w:pPr>
        <w:ind w:firstLine="357"/>
        <w:rPr>
          <w:lang w:val="el-GR"/>
        </w:rPr>
      </w:pPr>
      <w:r w:rsidRPr="005B30C1">
        <w:rPr>
          <w:lang w:val="el-GR"/>
        </w:rPr>
        <w:t>Η μέθοδος έχει πλεονεκτήματα που την καθιστούν ιδιαίτερα ελκυστική. Δεν χρειάζεται υπόθεση κανονικότητας και επομένως μπορεί να ενσωματώσει ιστορικές ακραίες παρατηρήσεις. Είναι εύκολη στην εξήγηση προς μη τεχνικούς χρήστες, επειδή βασίζεται σε πραγματικά δεδομένα και όχι σε αφηρημένη κατανομή. Το χαρακτηριστικό αυτό την καθιστά χρήσιμη σε αναλύσεις όπου απαιτείται σαφής σύνδεση μεταξύ των πραγματικών δεδομένων της αγοράς και της εκτίμησης της δυνητικής ζημίας.</w:t>
      </w:r>
    </w:p>
    <w:p w14:paraId="13EE1899" w14:textId="77777777" w:rsidR="00FC097F" w:rsidRPr="005B30C1" w:rsidRDefault="00FC097F" w:rsidP="00FC097F">
      <w:pPr>
        <w:pStyle w:val="af"/>
        <w:rPr>
          <w:lang w:val="el-GR"/>
        </w:rPr>
      </w:pPr>
      <w:r w:rsidRPr="005B30C1">
        <w:rPr>
          <w:lang w:val="el-GR"/>
        </w:rPr>
        <w:t xml:space="preserve">Ωστόσο, η </w:t>
      </w:r>
      <w:r>
        <w:t>Historical</w:t>
      </w:r>
      <w:r w:rsidRPr="005B30C1">
        <w:rPr>
          <w:lang w:val="el-GR"/>
        </w:rPr>
        <w:t xml:space="preserve"> </w:t>
      </w:r>
      <w:proofErr w:type="spellStart"/>
      <w:r>
        <w:t>VaR</w:t>
      </w:r>
      <w:proofErr w:type="spellEnd"/>
      <w:r w:rsidRPr="005B30C1">
        <w:rPr>
          <w:lang w:val="el-GR"/>
        </w:rPr>
        <w:t xml:space="preserve"> έχει και μειονεκτήματα. Η εκτίμηση εξαρτάται από το μήκος του παραθύρου. Ένα πολύ μικρό παράθυρο μπορεί να είναι ασταθές, ενώ ένα πολύ μεγάλο παράθυρο μπορεί να αντιδρά αργά στις νέες συνθήκες. Επιπλέον, η μέθοδος θεωρεί ότι το </w:t>
      </w:r>
      <w:r w:rsidRPr="005B30C1">
        <w:rPr>
          <w:lang w:val="el-GR"/>
        </w:rPr>
        <w:lastRenderedPageBreak/>
        <w:t>πρόσφατο παρελθόν είναι επαρκής οδηγός για το άμεσο μέλλον. Αυτό δεν ισχύει πάντα, ειδικά σε περιόδους καθεστωτικών αλλαγών, όπως η μετάβαση από περιβάλλον χαμηλών επιτοκίων σε περιβάλλον αυξημένων επιτοκίων ή η αιφνίδια εμφάνιση κρίσεων.</w:t>
      </w:r>
    </w:p>
    <w:p w14:paraId="303272E9" w14:textId="77777777" w:rsidR="00FC097F" w:rsidRPr="005B30C1" w:rsidRDefault="00FC097F" w:rsidP="00321E2E">
      <w:pPr>
        <w:pStyle w:val="21"/>
        <w:rPr>
          <w:lang w:val="el-GR"/>
        </w:rPr>
      </w:pPr>
      <w:bookmarkStart w:id="25" w:name="_Toc232171073"/>
      <w:bookmarkStart w:id="26" w:name="ewma-var"/>
      <w:bookmarkEnd w:id="24"/>
      <w:r w:rsidRPr="005B30C1">
        <w:rPr>
          <w:rFonts w:eastAsia="Times New Roman"/>
          <w:lang w:val="el-GR"/>
        </w:rPr>
        <w:t xml:space="preserve">2.5 </w:t>
      </w:r>
      <w:r>
        <w:rPr>
          <w:rFonts w:eastAsia="Times New Roman"/>
        </w:rPr>
        <w:t>EWMA</w:t>
      </w:r>
      <w:r w:rsidRPr="005B30C1">
        <w:rPr>
          <w:rFonts w:eastAsia="Times New Roman"/>
          <w:lang w:val="el-GR"/>
        </w:rPr>
        <w:t xml:space="preserve"> </w:t>
      </w:r>
      <w:proofErr w:type="spellStart"/>
      <w:r>
        <w:rPr>
          <w:rFonts w:eastAsia="Times New Roman"/>
        </w:rPr>
        <w:t>VaR</w:t>
      </w:r>
      <w:bookmarkEnd w:id="25"/>
      <w:proofErr w:type="spellEnd"/>
    </w:p>
    <w:p w14:paraId="1A6F1982" w14:textId="77777777" w:rsidR="00FC097F" w:rsidRPr="005B30C1" w:rsidRDefault="00FC097F" w:rsidP="00FC097F">
      <w:pPr>
        <w:ind w:firstLine="357"/>
        <w:rPr>
          <w:lang w:val="el-GR"/>
        </w:rPr>
      </w:pPr>
      <w:r w:rsidRPr="005B30C1">
        <w:rPr>
          <w:lang w:val="el-GR"/>
        </w:rPr>
        <w:t xml:space="preserve">Η </w:t>
      </w:r>
      <w:r>
        <w:t>EWMA</w:t>
      </w:r>
      <w:r w:rsidRPr="005B30C1">
        <w:rPr>
          <w:lang w:val="el-GR"/>
        </w:rPr>
        <w:t xml:space="preserve"> </w:t>
      </w:r>
      <w:proofErr w:type="spellStart"/>
      <w:r>
        <w:t>VaR</w:t>
      </w:r>
      <w:proofErr w:type="spellEnd"/>
      <w:r w:rsidRPr="005B30C1">
        <w:rPr>
          <w:lang w:val="el-GR"/>
        </w:rPr>
        <w:t xml:space="preserve"> αποτελεί δυναμική προσέγγιση μέτρησης κινδύνου, επειδή επιτρέπει στη μεταβλητότητα να μεταβάλλεται στον χρόνο. Το υπόδειγμα χρησιμοποιεί εκθετικά σταθμισμένο κινητό μέσο της διακύμανσης. Η νέα εκτίμηση της διακύμανσης προκύπτει από συνδυασμό της προηγούμενης διακύμανσης και της πιο πρόσφατης τετραγωνισμένης απόδοσης:</w:t>
      </w:r>
      <w:r w:rsidRPr="00FC097F">
        <w:rPr>
          <w:lang w:val="el-GR"/>
        </w:rPr>
        <w:t xml:space="preserve"> (</w:t>
      </w:r>
      <w:proofErr w:type="spellStart"/>
      <w:r>
        <w:t>RiskMetrics</w:t>
      </w:r>
      <w:proofErr w:type="spellEnd"/>
      <w:r w:rsidRPr="00FC097F">
        <w:rPr>
          <w:lang w:val="el-GR"/>
        </w:rPr>
        <w:t xml:space="preserve"> </w:t>
      </w:r>
      <w:r>
        <w:t>Group</w:t>
      </w:r>
      <w:r w:rsidRPr="00FC097F">
        <w:rPr>
          <w:lang w:val="el-GR"/>
        </w:rPr>
        <w:t>, 1996)</w:t>
      </w:r>
    </w:p>
    <w:p w14:paraId="333240EE" w14:textId="7E609735" w:rsidR="00FC097F" w:rsidRPr="00FC097F" w:rsidRDefault="00B06BF3" w:rsidP="00FC097F">
      <w:pPr>
        <w:pStyle w:val="af"/>
        <w:tabs>
          <w:tab w:val="right" w:leader="dot" w:pos="8504"/>
          <w:tab w:val="right" w:pos="9072"/>
        </w:tabs>
        <w:jc w:val="center"/>
        <w:rPr>
          <w:lang w:val="el-GR"/>
        </w:rPr>
      </w:pPr>
      <m:oMath>
        <m:sSubSup>
          <m:sSubSupPr>
            <m:ctrlPr>
              <w:rPr>
                <w:rFonts w:ascii="Cambria Math" w:hAnsi="Cambria Math"/>
              </w:rPr>
            </m:ctrlPr>
          </m:sSubSupPr>
          <m:e>
            <m:r>
              <w:rPr>
                <w:rFonts w:ascii="Cambria Math" w:hAnsi="Cambria Math"/>
              </w:rPr>
              <m:t>σ</m:t>
            </m:r>
          </m:e>
          <m:sub>
            <m:r>
              <w:rPr>
                <w:rFonts w:ascii="Cambria Math" w:hAnsi="Cambria Math"/>
              </w:rPr>
              <m:t>t</m:t>
            </m:r>
          </m:sub>
          <m:sup>
            <m:r>
              <w:rPr>
                <w:rFonts w:ascii="Cambria Math" w:hAnsi="Cambria Math"/>
                <w:lang w:val="el-GR"/>
              </w:rPr>
              <m:t>2</m:t>
            </m:r>
          </m:sup>
        </m:sSubSup>
        <m:r>
          <m:rPr>
            <m:sty m:val="p"/>
          </m:rPr>
          <w:rPr>
            <w:rFonts w:ascii="Cambria Math" w:hAnsi="Cambria Math"/>
            <w:lang w:val="el-GR"/>
          </w:rPr>
          <m:t>=</m:t>
        </m:r>
        <m:r>
          <w:rPr>
            <w:rFonts w:ascii="Cambria Math" w:hAnsi="Cambria Math"/>
          </w:rPr>
          <m:t>λ</m:t>
        </m:r>
        <m:sSubSup>
          <m:sSubSupPr>
            <m:ctrlPr>
              <w:rPr>
                <w:rFonts w:ascii="Cambria Math" w:hAnsi="Cambria Math"/>
              </w:rPr>
            </m:ctrlPr>
          </m:sSubSupPr>
          <m:e>
            <m:r>
              <w:rPr>
                <w:rFonts w:ascii="Cambria Math" w:hAnsi="Cambria Math"/>
              </w:rPr>
              <m:t>σ</m:t>
            </m:r>
          </m:e>
          <m:sub>
            <m:r>
              <w:rPr>
                <w:rFonts w:ascii="Cambria Math" w:hAnsi="Cambria Math"/>
              </w:rPr>
              <m:t>t</m:t>
            </m:r>
            <m:r>
              <m:rPr>
                <m:sty m:val="p"/>
              </m:rPr>
              <w:rPr>
                <w:rFonts w:ascii="Cambria Math" w:hAnsi="Cambria Math"/>
                <w:lang w:val="el-GR"/>
              </w:rPr>
              <m:t>-</m:t>
            </m:r>
            <m:r>
              <w:rPr>
                <w:rFonts w:ascii="Cambria Math" w:hAnsi="Cambria Math"/>
                <w:lang w:val="el-GR"/>
              </w:rPr>
              <m:t>1</m:t>
            </m:r>
          </m:sub>
          <m:sup>
            <m:r>
              <w:rPr>
                <w:rFonts w:ascii="Cambria Math" w:hAnsi="Cambria Math"/>
                <w:lang w:val="el-GR"/>
              </w:rPr>
              <m:t>2</m:t>
            </m:r>
          </m:sup>
        </m:sSubSup>
        <m:r>
          <m:rPr>
            <m:sty m:val="p"/>
          </m:rPr>
          <w:rPr>
            <w:rFonts w:ascii="Cambria Math" w:hAnsi="Cambria Math"/>
            <w:lang w:val="el-GR"/>
          </w:rPr>
          <m:t>+</m:t>
        </m:r>
        <m:d>
          <m:dPr>
            <m:ctrlPr>
              <w:rPr>
                <w:rFonts w:ascii="Cambria Math" w:hAnsi="Cambria Math"/>
              </w:rPr>
            </m:ctrlPr>
          </m:dPr>
          <m:e>
            <m:r>
              <w:rPr>
                <w:rFonts w:ascii="Cambria Math" w:hAnsi="Cambria Math"/>
                <w:lang w:val="el-GR"/>
              </w:rPr>
              <m:t>1</m:t>
            </m:r>
            <m:r>
              <m:rPr>
                <m:sty m:val="p"/>
              </m:rPr>
              <w:rPr>
                <w:rFonts w:ascii="Cambria Math" w:hAnsi="Cambria Math"/>
                <w:lang w:val="el-GR"/>
              </w:rPr>
              <m:t>-</m:t>
            </m:r>
            <m:r>
              <w:rPr>
                <w:rFonts w:ascii="Cambria Math" w:hAnsi="Cambria Math"/>
              </w:rPr>
              <m:t>λ</m:t>
            </m:r>
          </m:e>
        </m:d>
        <m:sSubSup>
          <m:sSubSupPr>
            <m:ctrlPr>
              <w:rPr>
                <w:rFonts w:ascii="Cambria Math" w:hAnsi="Cambria Math"/>
              </w:rPr>
            </m:ctrlPr>
          </m:sSubSup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r>
              <m:rPr>
                <m:sty m:val="p"/>
              </m:rPr>
              <w:rPr>
                <w:rFonts w:ascii="Cambria Math" w:hAnsi="Cambria Math"/>
                <w:lang w:val="el-GR"/>
              </w:rPr>
              <m:t>-</m:t>
            </m:r>
            <m:r>
              <w:rPr>
                <w:rFonts w:ascii="Cambria Math" w:hAnsi="Cambria Math"/>
                <w:lang w:val="el-GR"/>
              </w:rPr>
              <m:t>1</m:t>
            </m:r>
          </m:sub>
          <m:sup>
            <m:r>
              <w:rPr>
                <w:rFonts w:ascii="Cambria Math" w:hAnsi="Cambria Math"/>
                <w:lang w:val="el-GR"/>
              </w:rPr>
              <m:t>2</m:t>
            </m:r>
          </m:sup>
        </m:sSubSup>
        <m:r>
          <w:rPr>
            <w:rFonts w:ascii="Cambria Math" w:hAnsi="Cambria Math"/>
            <w:lang w:val="el-GR"/>
          </w:rPr>
          <m:t xml:space="preserve"> </m:t>
        </m:r>
      </m:oMath>
      <w:r w:rsidR="00FC097F" w:rsidRPr="00FC097F">
        <w:rPr>
          <w:lang w:val="el-GR"/>
        </w:rPr>
        <w:t>(2.3)</w:t>
      </w:r>
    </w:p>
    <w:p w14:paraId="29F1C6D9" w14:textId="77777777" w:rsidR="00FC097F" w:rsidRPr="005B30C1" w:rsidRDefault="00FC097F" w:rsidP="00FC097F">
      <w:pPr>
        <w:ind w:firstLine="357"/>
        <w:rPr>
          <w:lang w:val="el-GR"/>
        </w:rPr>
      </w:pPr>
      <w:r w:rsidRPr="005B30C1">
        <w:rPr>
          <w:lang w:val="el-GR"/>
        </w:rPr>
        <w:t xml:space="preserve">Χρησιμοποιείται συντελεστής εξομάλυνσης λ = 0,94, τιμή που συνδέεται με την κλασική πρακτική </w:t>
      </w:r>
      <w:proofErr w:type="spellStart"/>
      <w:r>
        <w:t>RiskMetrics</w:t>
      </w:r>
      <w:proofErr w:type="spellEnd"/>
      <w:r w:rsidRPr="005B30C1">
        <w:rPr>
          <w:lang w:val="el-GR"/>
        </w:rPr>
        <w:t xml:space="preserve"> για ημερήσια χρηματοοικονομικά δεδομένα. Η παράμετρος λ καθορίζει πόσο γρήγορα μειώνεται η επίδραση των παλαιότερων παρατηρήσεων. Όσο υψηλότερη είναι η τιμή του λ, τόσο πιο αργή είναι η προσαρμογή της μεταβλητότητας. Όσο χαμηλότερη είναι, τόσο μεγαλύτερη βαρύτητα δίνεται στις πιο πρόσφατες αποδόσεις.</w:t>
      </w:r>
    </w:p>
    <w:p w14:paraId="3B664B3F" w14:textId="77777777" w:rsidR="00FC097F" w:rsidRPr="005B30C1" w:rsidRDefault="00FC097F" w:rsidP="00FC097F">
      <w:pPr>
        <w:ind w:firstLine="357"/>
        <w:rPr>
          <w:lang w:val="el-GR"/>
        </w:rPr>
      </w:pPr>
      <w:r w:rsidRPr="005B30C1">
        <w:rPr>
          <w:lang w:val="el-GR"/>
        </w:rPr>
        <w:t xml:space="preserve">Η μεθοδολογία </w:t>
      </w:r>
      <w:proofErr w:type="spellStart"/>
      <w:r>
        <w:t>RiskMetrics</w:t>
      </w:r>
      <w:proofErr w:type="spellEnd"/>
      <w:r w:rsidRPr="005B30C1">
        <w:rPr>
          <w:lang w:val="el-GR"/>
        </w:rPr>
        <w:t xml:space="preserve"> της </w:t>
      </w:r>
      <w:r>
        <w:t>J</w:t>
      </w:r>
      <w:r w:rsidRPr="005B30C1">
        <w:rPr>
          <w:lang w:val="el-GR"/>
        </w:rPr>
        <w:t>.</w:t>
      </w:r>
      <w:r>
        <w:t>P</w:t>
      </w:r>
      <w:r w:rsidRPr="005B30C1">
        <w:rPr>
          <w:lang w:val="el-GR"/>
        </w:rPr>
        <w:t xml:space="preserve">. </w:t>
      </w:r>
      <w:r>
        <w:t>Morgan</w:t>
      </w:r>
      <w:r w:rsidRPr="005B30C1">
        <w:rPr>
          <w:lang w:val="el-GR"/>
        </w:rPr>
        <w:t xml:space="preserve"> συνέβαλε σημαντικά στη διάδοση της </w:t>
      </w:r>
      <w:proofErr w:type="spellStart"/>
      <w:r>
        <w:t>VaR</w:t>
      </w:r>
      <w:proofErr w:type="spellEnd"/>
      <w:r w:rsidRPr="005B30C1">
        <w:rPr>
          <w:lang w:val="el-GR"/>
        </w:rPr>
        <w:t xml:space="preserve"> ως πρακτικού εργαλείου διαχείρισης κινδύνου. Η βασική της λογική ήταν ότι η μεταβλητότητα των χρηματοοικονομικών αποδόσεων πρέπει να ενημερώνεται συνεχώς, με μεγαλύτερη έμφαση στις νεότερες πληροφορίες της αγοράς. Για τον λόγο αυτό, η </w:t>
      </w:r>
      <w:r>
        <w:t>EWMA</w:t>
      </w:r>
      <w:r w:rsidRPr="005B30C1">
        <w:rPr>
          <w:lang w:val="el-GR"/>
        </w:rPr>
        <w:t xml:space="preserve"> μπορεί να θεωρηθεί ενδιάμεση λύση ανάμεσα σε μια απλή στατική τυπική απόκλιση και σε πιο σύνθετα οικονομετρικά υποδείγματα μεταβλητότητας.</w:t>
      </w:r>
    </w:p>
    <w:p w14:paraId="5E61969D" w14:textId="77777777" w:rsidR="00FC097F" w:rsidRPr="005B30C1" w:rsidRDefault="00FC097F" w:rsidP="00FC097F">
      <w:pPr>
        <w:pStyle w:val="af"/>
        <w:rPr>
          <w:lang w:val="el-GR"/>
        </w:rPr>
      </w:pPr>
      <w:r w:rsidRPr="005B30C1">
        <w:rPr>
          <w:lang w:val="el-GR"/>
        </w:rPr>
        <w:t xml:space="preserve">Αφού υπολογιστεί η ημερήσια μεταβλητότητα, η </w:t>
      </w:r>
      <w:r>
        <w:t>EWMA</w:t>
      </w:r>
      <w:r w:rsidRPr="005B30C1">
        <w:rPr>
          <w:lang w:val="el-GR"/>
        </w:rPr>
        <w:t xml:space="preserve"> </w:t>
      </w:r>
      <w:proofErr w:type="spellStart"/>
      <w:r>
        <w:t>VaR</w:t>
      </w:r>
      <w:proofErr w:type="spellEnd"/>
      <w:r w:rsidRPr="005B30C1">
        <w:rPr>
          <w:lang w:val="el-GR"/>
        </w:rPr>
        <w:t xml:space="preserve"> σε επίπεδο εμπιστοσύνης 99% δίνεται από τη σχέση:</w:t>
      </w:r>
    </w:p>
    <w:p w14:paraId="60DBDFFF" w14:textId="00124443" w:rsidR="00FC097F" w:rsidRPr="00FC097F" w:rsidRDefault="00B06BF3" w:rsidP="00FC097F">
      <w:pPr>
        <w:pStyle w:val="af"/>
        <w:tabs>
          <w:tab w:val="right" w:leader="dot" w:pos="8504"/>
          <w:tab w:val="right" w:pos="9072"/>
        </w:tabs>
        <w:jc w:val="center"/>
        <w:rPr>
          <w:lang w:val="el-GR"/>
        </w:rPr>
      </w:pPr>
      <m:oMath>
        <m:sSubSup>
          <m:sSubSupPr>
            <m:ctrlPr>
              <w:rPr>
                <w:rFonts w:ascii="Cambria Math" w:hAnsi="Cambria Math"/>
              </w:rPr>
            </m:ctrlPr>
          </m:sSubSupPr>
          <m:e>
            <m:r>
              <m:rPr>
                <m:sty m:val="p"/>
              </m:rPr>
              <w:rPr>
                <w:rFonts w:ascii="Cambria Math" w:hAnsi="Cambria Math"/>
              </w:rPr>
              <m:t>VaR</m:t>
            </m:r>
          </m:e>
          <m:sub>
            <m:r>
              <w:rPr>
                <w:rFonts w:ascii="Cambria Math" w:hAnsi="Cambria Math"/>
                <w:lang w:val="el-GR"/>
              </w:rPr>
              <m:t>0.99</m:t>
            </m:r>
            <m:r>
              <m:rPr>
                <m:sty m:val="p"/>
              </m:rPr>
              <w:rPr>
                <w:rFonts w:ascii="Cambria Math" w:hAnsi="Cambria Math"/>
                <w:lang w:val="el-GR"/>
              </w:rPr>
              <m:t>,</m:t>
            </m:r>
            <m:r>
              <w:rPr>
                <w:rFonts w:ascii="Cambria Math" w:hAnsi="Cambria Math"/>
              </w:rPr>
              <m:t>t</m:t>
            </m:r>
          </m:sub>
          <m:sup>
            <m:r>
              <w:rPr>
                <w:rFonts w:ascii="Cambria Math" w:hAnsi="Cambria Math"/>
              </w:rPr>
              <m:t>EWMA</m:t>
            </m:r>
          </m:sup>
        </m:sSubSup>
        <m:r>
          <m:rPr>
            <m:sty m:val="p"/>
          </m:rPr>
          <w:rPr>
            <w:rFonts w:ascii="Cambria Math" w:hAnsi="Cambria Math"/>
            <w:lang w:val="el-GR"/>
          </w:rPr>
          <m:t>=</m:t>
        </m:r>
        <m:sSub>
          <m:sSubPr>
            <m:ctrlPr>
              <w:rPr>
                <w:rFonts w:ascii="Cambria Math" w:hAnsi="Cambria Math"/>
              </w:rPr>
            </m:ctrlPr>
          </m:sSubPr>
          <m:e>
            <m:r>
              <w:rPr>
                <w:rFonts w:ascii="Cambria Math" w:hAnsi="Cambria Math"/>
              </w:rPr>
              <m:t>z</m:t>
            </m:r>
          </m:e>
          <m:sub>
            <m:r>
              <w:rPr>
                <w:rFonts w:ascii="Cambria Math" w:hAnsi="Cambria Math"/>
                <w:lang w:val="el-GR"/>
              </w:rPr>
              <m:t>0.99</m:t>
            </m:r>
          </m:sub>
        </m:sSub>
        <m:sSub>
          <m:sSubPr>
            <m:ctrlPr>
              <w:rPr>
                <w:rFonts w:ascii="Cambria Math" w:hAnsi="Cambria Math"/>
              </w:rPr>
            </m:ctrlPr>
          </m:sSubPr>
          <m:e>
            <m:r>
              <w:rPr>
                <w:rFonts w:ascii="Cambria Math" w:hAnsi="Cambria Math"/>
              </w:rPr>
              <m:t>σ</m:t>
            </m:r>
          </m:e>
          <m:sub>
            <m:r>
              <w:rPr>
                <w:rFonts w:ascii="Cambria Math" w:hAnsi="Cambria Math"/>
              </w:rPr>
              <m:t>t</m:t>
            </m:r>
          </m:sub>
        </m:sSub>
        <m:r>
          <w:rPr>
            <w:rFonts w:ascii="Cambria Math" w:hAnsi="Cambria Math"/>
            <w:lang w:val="el-GR"/>
          </w:rPr>
          <m:t xml:space="preserve"> </m:t>
        </m:r>
      </m:oMath>
      <w:r w:rsidR="00FC097F" w:rsidRPr="00FC097F">
        <w:rPr>
          <w:lang w:val="el-GR"/>
        </w:rPr>
        <w:t>(2.4)</w:t>
      </w:r>
    </w:p>
    <w:p w14:paraId="6E2D271B" w14:textId="77777777" w:rsidR="00FC097F" w:rsidRPr="005B30C1" w:rsidRDefault="00FC097F" w:rsidP="00FC097F">
      <w:pPr>
        <w:ind w:firstLine="357"/>
        <w:rPr>
          <w:lang w:val="el-GR"/>
        </w:rPr>
      </w:pPr>
      <w:r w:rsidRPr="005B30C1">
        <w:rPr>
          <w:lang w:val="el-GR"/>
        </w:rPr>
        <w:t xml:space="preserve">όπου </w:t>
      </w:r>
      <m:oMath>
        <m:sSub>
          <m:sSubPr>
            <m:ctrlPr>
              <w:rPr>
                <w:rFonts w:ascii="Cambria Math" w:hAnsi="Cambria Math"/>
              </w:rPr>
            </m:ctrlPr>
          </m:sSubPr>
          <m:e>
            <m:r>
              <w:rPr>
                <w:rFonts w:ascii="Cambria Math" w:hAnsi="Cambria Math"/>
              </w:rPr>
              <m:t>z</m:t>
            </m:r>
          </m:e>
          <m:sub>
            <m:r>
              <w:rPr>
                <w:rFonts w:ascii="Cambria Math" w:hAnsi="Cambria Math"/>
                <w:lang w:val="el-GR"/>
              </w:rPr>
              <m:t>0.99</m:t>
            </m:r>
          </m:sub>
        </m:sSub>
        <m:r>
          <m:rPr>
            <m:sty m:val="p"/>
          </m:rPr>
          <w:rPr>
            <w:rFonts w:ascii="Cambria Math" w:hAnsi="Cambria Math"/>
            <w:lang w:val="el-GR"/>
          </w:rPr>
          <m:t>=</m:t>
        </m:r>
        <m:r>
          <w:rPr>
            <w:rFonts w:ascii="Cambria Math" w:hAnsi="Cambria Math"/>
            <w:lang w:val="el-GR"/>
          </w:rPr>
          <m:t>2.3263</m:t>
        </m:r>
      </m:oMath>
      <w:r w:rsidRPr="005B30C1">
        <w:rPr>
          <w:lang w:val="el-GR"/>
        </w:rPr>
        <w:t xml:space="preserve"> είναι η τιμή της τυποποιημένης κανονικής κατανομής για επίπεδο εμπιστοσύνης 99%. Για δεκαήμερο ορίζοντα χρησιμοποιείται η προσέγγιση της τετραγωνικής ρίζας του χρόνου:</w:t>
      </w:r>
    </w:p>
    <w:p w14:paraId="55421F1C" w14:textId="199ACA02" w:rsidR="00FC097F" w:rsidRPr="00FC097F" w:rsidRDefault="00B06BF3" w:rsidP="00FC097F">
      <w:pPr>
        <w:pStyle w:val="af"/>
        <w:tabs>
          <w:tab w:val="right" w:leader="dot" w:pos="8504"/>
          <w:tab w:val="right" w:pos="9072"/>
        </w:tabs>
        <w:jc w:val="center"/>
        <w:rPr>
          <w:lang w:val="el-GR"/>
        </w:rPr>
      </w:pPr>
      <m:oMath>
        <m:sSub>
          <m:sSubPr>
            <m:ctrlPr>
              <w:rPr>
                <w:rFonts w:ascii="Cambria Math" w:hAnsi="Cambria Math"/>
              </w:rPr>
            </m:ctrlPr>
          </m:sSubPr>
          <m:e>
            <m:r>
              <m:rPr>
                <m:sty m:val="p"/>
              </m:rPr>
              <w:rPr>
                <w:rFonts w:ascii="Cambria Math" w:hAnsi="Cambria Math"/>
              </w:rPr>
              <m:t>VaR</m:t>
            </m:r>
          </m:e>
          <m:sub>
            <m:r>
              <w:rPr>
                <w:rFonts w:ascii="Cambria Math" w:hAnsi="Cambria Math"/>
                <w:lang w:val="el-GR"/>
              </w:rPr>
              <m:t>10</m:t>
            </m:r>
            <m:r>
              <w:rPr>
                <w:rFonts w:ascii="Cambria Math" w:hAnsi="Cambria Math"/>
              </w:rPr>
              <m:t>d</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m:t>
        </m:r>
        <m:rad>
          <m:radPr>
            <m:degHide m:val="1"/>
            <m:ctrlPr>
              <w:rPr>
                <w:rFonts w:ascii="Cambria Math" w:hAnsi="Cambria Math"/>
              </w:rPr>
            </m:ctrlPr>
          </m:radPr>
          <m:deg/>
          <m:e>
            <m:r>
              <w:rPr>
                <w:rFonts w:ascii="Cambria Math" w:hAnsi="Cambria Math"/>
                <w:lang w:val="el-GR"/>
              </w:rPr>
              <m:t>10</m:t>
            </m:r>
          </m:e>
        </m:rad>
        <m:r>
          <m:rPr>
            <m:sty m:val="p"/>
          </m:rPr>
          <w:rPr>
            <w:rFonts w:ascii="Cambria Math" w:hAnsi="Cambria Math"/>
            <w:lang w:val="el-GR"/>
          </w:rPr>
          <m:t>×</m:t>
        </m:r>
        <m:sSub>
          <m:sSubPr>
            <m:ctrlPr>
              <w:rPr>
                <w:rFonts w:ascii="Cambria Math" w:hAnsi="Cambria Math"/>
              </w:rPr>
            </m:ctrlPr>
          </m:sSubPr>
          <m:e>
            <m:r>
              <m:rPr>
                <m:sty m:val="p"/>
              </m:rPr>
              <w:rPr>
                <w:rFonts w:ascii="Cambria Math" w:hAnsi="Cambria Math"/>
              </w:rPr>
              <m:t>VaR</m:t>
            </m:r>
          </m:e>
          <m:sub>
            <m:r>
              <w:rPr>
                <w:rFonts w:ascii="Cambria Math" w:hAnsi="Cambria Math"/>
                <w:lang w:val="el-GR"/>
              </w:rPr>
              <m:t>1</m:t>
            </m:r>
            <m:r>
              <w:rPr>
                <w:rFonts w:ascii="Cambria Math" w:hAnsi="Cambria Math"/>
              </w:rPr>
              <m:t>d</m:t>
            </m:r>
            <m:r>
              <m:rPr>
                <m:sty m:val="p"/>
              </m:rPr>
              <w:rPr>
                <w:rFonts w:ascii="Cambria Math" w:hAnsi="Cambria Math"/>
                <w:lang w:val="el-GR"/>
              </w:rPr>
              <m:t>,</m:t>
            </m:r>
            <m:r>
              <w:rPr>
                <w:rFonts w:ascii="Cambria Math" w:hAnsi="Cambria Math"/>
              </w:rPr>
              <m:t>t</m:t>
            </m:r>
          </m:sub>
        </m:sSub>
        <m:r>
          <w:rPr>
            <w:rFonts w:ascii="Cambria Math" w:hAnsi="Cambria Math"/>
            <w:lang w:val="el-GR"/>
          </w:rPr>
          <m:t xml:space="preserve"> </m:t>
        </m:r>
      </m:oMath>
      <w:r w:rsidR="00FC097F" w:rsidRPr="00FC097F">
        <w:rPr>
          <w:lang w:val="el-GR"/>
        </w:rPr>
        <w:t>(2.5)</w:t>
      </w:r>
    </w:p>
    <w:p w14:paraId="64B04904" w14:textId="77777777" w:rsidR="00FC097F" w:rsidRPr="005B30C1" w:rsidRDefault="00FC097F" w:rsidP="00FC097F">
      <w:pPr>
        <w:ind w:firstLine="357"/>
        <w:rPr>
          <w:lang w:val="el-GR"/>
        </w:rPr>
      </w:pPr>
      <w:r w:rsidRPr="005B30C1">
        <w:rPr>
          <w:lang w:val="el-GR"/>
        </w:rPr>
        <w:lastRenderedPageBreak/>
        <w:t xml:space="preserve">Η </w:t>
      </w:r>
      <w:r>
        <w:t>EWMA</w:t>
      </w:r>
      <w:r w:rsidRPr="005B30C1">
        <w:rPr>
          <w:lang w:val="el-GR"/>
        </w:rPr>
        <w:t xml:space="preserve"> έχει το πλεονέκτημα ότι προσαρμόζεται γρηγορότερα σε περιόδους αυξημένης μεταβλητότητας σε σχέση με μια απλή ιστορική μέθοδο. Από την άλλη πλευρά, εξακολουθεί να χρησιμοποιεί την κανονική κατανομή για τη μετατροπή της μεταβλητότητας σε </w:t>
      </w:r>
      <w:proofErr w:type="spellStart"/>
      <w:r>
        <w:t>VaR</w:t>
      </w:r>
      <w:proofErr w:type="spellEnd"/>
      <w:r w:rsidRPr="005B30C1">
        <w:rPr>
          <w:lang w:val="el-GR"/>
        </w:rPr>
        <w:t xml:space="preserve">. Επομένως, όταν οι αποδόσεις εμφανίζουν βαρύτερες ουρές από την κανονική κατανομή, το μοντέλο μπορεί να υποεκτιμήσει τη συχνότητα ακραίων ζημιών. Αυτός είναι και ένας λόγος για τον οποίο η εργασία δεν περιορίζεται στον υπολογισμό της </w:t>
      </w:r>
      <w:proofErr w:type="spellStart"/>
      <w:r>
        <w:t>VaR</w:t>
      </w:r>
      <w:proofErr w:type="spellEnd"/>
      <w:r w:rsidRPr="005B30C1">
        <w:rPr>
          <w:lang w:val="el-GR"/>
        </w:rPr>
        <w:t xml:space="preserve">, αλλά προχωρά σε </w:t>
      </w:r>
      <w:proofErr w:type="spellStart"/>
      <w:r>
        <w:t>backtesting</w:t>
      </w:r>
      <w:proofErr w:type="spellEnd"/>
      <w:r w:rsidRPr="005B30C1">
        <w:rPr>
          <w:lang w:val="el-GR"/>
        </w:rPr>
        <w:t>.</w:t>
      </w:r>
    </w:p>
    <w:p w14:paraId="59EE021B" w14:textId="77777777" w:rsidR="00FC097F" w:rsidRPr="005B30C1" w:rsidRDefault="00FC097F" w:rsidP="00FC097F">
      <w:pPr>
        <w:pStyle w:val="af"/>
        <w:rPr>
          <w:lang w:val="el-GR"/>
        </w:rPr>
      </w:pPr>
      <w:r w:rsidRPr="005B30C1">
        <w:rPr>
          <w:lang w:val="el-GR"/>
        </w:rPr>
        <w:t xml:space="preserve">Η </w:t>
      </w:r>
      <w:r>
        <w:t>EWMA</w:t>
      </w:r>
      <w:r w:rsidRPr="005B30C1">
        <w:rPr>
          <w:lang w:val="el-GR"/>
        </w:rPr>
        <w:t xml:space="preserve"> μπορεί να θεωρηθεί ως απλοποιημένη μορφή δυναμικού μοντέλου μεταβλητότητας. Σε αντίθεση με μια απλή τυπική απόκλιση που υπολογίζεται σε ένα σταθερό παράθυρο και δίνει ίδιο βάρος σε όλες τις παρατηρήσεις, η </w:t>
      </w:r>
      <w:r>
        <w:t>EWMA</w:t>
      </w:r>
      <w:r w:rsidRPr="005B30C1">
        <w:rPr>
          <w:lang w:val="el-GR"/>
        </w:rPr>
        <w:t xml:space="preserve"> ενσωματώνει την ιδέα ότι οι πιο πρόσφατες αποδόσεις έχουν μεγαλύτερη πληροφοριακή αξία για την αυριανή μεταβλητότητα. Αυτό είναι ιδιαίτερα χρήσιμο όταν η αγορά περνά από ένα ήρεμο καθεστώς σε καθεστώς έντονης αβεβαιότητας. Αν εμφανιστεί μια μεγάλη αρνητική απόδοση, το </w:t>
      </w:r>
      <w:r>
        <w:t>EWMA</w:t>
      </w:r>
      <w:r w:rsidRPr="005B30C1">
        <w:rPr>
          <w:lang w:val="el-GR"/>
        </w:rPr>
        <w:t xml:space="preserve"> </w:t>
      </w:r>
      <w:proofErr w:type="spellStart"/>
      <w:r>
        <w:t>VaR</w:t>
      </w:r>
      <w:proofErr w:type="spellEnd"/>
      <w:r w:rsidRPr="005B30C1">
        <w:rPr>
          <w:lang w:val="el-GR"/>
        </w:rPr>
        <w:t xml:space="preserve"> αυξάνεται άμεσα, ενώ η </w:t>
      </w:r>
      <w:r>
        <w:t>Historical</w:t>
      </w:r>
      <w:r w:rsidRPr="005B30C1">
        <w:rPr>
          <w:lang w:val="el-GR"/>
        </w:rPr>
        <w:t xml:space="preserve"> </w:t>
      </w:r>
      <w:proofErr w:type="spellStart"/>
      <w:r>
        <w:t>VaR</w:t>
      </w:r>
      <w:proofErr w:type="spellEnd"/>
      <w:r w:rsidRPr="005B30C1">
        <w:rPr>
          <w:lang w:val="el-GR"/>
        </w:rPr>
        <w:t xml:space="preserve"> μπορεί να αργήσει να ανταποκριθεί μέχρι η ακραία παρατήρηση να επηρεάσει το αντίστοιχο </w:t>
      </w:r>
      <w:proofErr w:type="spellStart"/>
      <w:r w:rsidRPr="005B30C1">
        <w:rPr>
          <w:lang w:val="el-GR"/>
        </w:rPr>
        <w:t>ποσοστημόριο</w:t>
      </w:r>
      <w:proofErr w:type="spellEnd"/>
      <w:r w:rsidRPr="005B30C1">
        <w:rPr>
          <w:lang w:val="el-GR"/>
        </w:rPr>
        <w:t>.</w:t>
      </w:r>
    </w:p>
    <w:p w14:paraId="1AD3B5FB" w14:textId="77777777" w:rsidR="00FC097F" w:rsidRPr="005B30C1" w:rsidRDefault="00FC097F" w:rsidP="00FC097F">
      <w:pPr>
        <w:pStyle w:val="af"/>
        <w:rPr>
          <w:lang w:val="el-GR"/>
        </w:rPr>
      </w:pPr>
      <w:r w:rsidRPr="005B30C1">
        <w:rPr>
          <w:lang w:val="el-GR"/>
        </w:rPr>
        <w:t xml:space="preserve">Παρόλα αυτά, η </w:t>
      </w:r>
      <w:r>
        <w:t>EWMA</w:t>
      </w:r>
      <w:r w:rsidRPr="005B30C1">
        <w:rPr>
          <w:lang w:val="el-GR"/>
        </w:rPr>
        <w:t xml:space="preserve"> δεν λύνει όλα τα προβλήματα. Αν η μετατροπή της μεταβλητότητας σε </w:t>
      </w:r>
      <w:proofErr w:type="spellStart"/>
      <w:r>
        <w:t>VaR</w:t>
      </w:r>
      <w:proofErr w:type="spellEnd"/>
      <w:r w:rsidRPr="005B30C1">
        <w:rPr>
          <w:lang w:val="el-GR"/>
        </w:rPr>
        <w:t xml:space="preserve"> γίνεται με βάση την κανονική κατανομή, τότε το μοντέλο εξακολουθεί να στηρίζεται σε μια υπόθεση που συχνά δεν ανταποκρίνεται πλήρως στις χρηματοοικονομικές αποδόσεις. Επιπλέον, η επιλογή του συντελεστή λήθης είναι κρίσιμη. Ένα πολύ υψηλό </w:t>
      </w:r>
      <m:oMath>
        <m:r>
          <w:rPr>
            <w:rFonts w:ascii="Cambria Math" w:hAnsi="Cambria Math"/>
          </w:rPr>
          <m:t>λ</m:t>
        </m:r>
      </m:oMath>
      <w:r w:rsidRPr="005B30C1">
        <w:rPr>
          <w:lang w:val="el-GR"/>
        </w:rPr>
        <w:t xml:space="preserve"> καθιστά το μοντέλο αργό, ενώ ένα πολύ χαμηλό </w:t>
      </w:r>
      <m:oMath>
        <m:r>
          <w:rPr>
            <w:rFonts w:ascii="Cambria Math" w:hAnsi="Cambria Math"/>
          </w:rPr>
          <m:t>λ</m:t>
        </m:r>
      </m:oMath>
      <w:r w:rsidRPr="005B30C1">
        <w:rPr>
          <w:lang w:val="el-GR"/>
        </w:rPr>
        <w:t xml:space="preserve"> το κάνει υπερβολικά ευαίσθητο σε μεμονωμένες παρατηρήσεις. Η επιλογή </w:t>
      </w:r>
      <m:oMath>
        <m:r>
          <w:rPr>
            <w:rFonts w:ascii="Cambria Math" w:hAnsi="Cambria Math"/>
          </w:rPr>
          <m:t>λ</m:t>
        </m:r>
        <m:r>
          <m:rPr>
            <m:sty m:val="p"/>
          </m:rPr>
          <w:rPr>
            <w:rFonts w:ascii="Cambria Math" w:hAnsi="Cambria Math"/>
            <w:lang w:val="el-GR"/>
          </w:rPr>
          <m:t>=</m:t>
        </m:r>
        <m:r>
          <w:rPr>
            <w:rFonts w:ascii="Cambria Math" w:hAnsi="Cambria Math"/>
            <w:lang w:val="el-GR"/>
          </w:rPr>
          <m:t>0.94</m:t>
        </m:r>
      </m:oMath>
      <w:r w:rsidRPr="005B30C1">
        <w:rPr>
          <w:lang w:val="el-GR"/>
        </w:rPr>
        <w:t xml:space="preserve"> στην παρούσα εργασία ακολουθεί την κλασική πρακτική της </w:t>
      </w:r>
      <w:proofErr w:type="spellStart"/>
      <w:r>
        <w:t>RiskMetrics</w:t>
      </w:r>
      <w:proofErr w:type="spellEnd"/>
      <w:r w:rsidRPr="005B30C1">
        <w:rPr>
          <w:lang w:val="el-GR"/>
        </w:rPr>
        <w:t xml:space="preserve"> για ημερήσια δεδομένα, αλλά αντιμετωπίζεται ως υπόθεση του μοντέλου και όχι ως φυσικός νόμος.</w:t>
      </w:r>
    </w:p>
    <w:p w14:paraId="46F90E70" w14:textId="77777777" w:rsidR="00FC097F" w:rsidRPr="005B30C1" w:rsidRDefault="00FC097F" w:rsidP="00321E2E">
      <w:pPr>
        <w:pStyle w:val="21"/>
        <w:rPr>
          <w:lang w:val="el-GR"/>
        </w:rPr>
      </w:pPr>
      <w:bookmarkStart w:id="27" w:name="_Toc232171074"/>
      <w:bookmarkStart w:id="28" w:name="backtesting-και-έλεγχος-kupiec"/>
      <w:bookmarkEnd w:id="26"/>
      <w:r w:rsidRPr="005B30C1">
        <w:rPr>
          <w:rFonts w:eastAsia="Times New Roman"/>
          <w:lang w:val="el-GR"/>
        </w:rPr>
        <w:t xml:space="preserve">2.6 </w:t>
      </w:r>
      <w:proofErr w:type="spellStart"/>
      <w:r>
        <w:rPr>
          <w:rFonts w:eastAsia="Times New Roman"/>
        </w:rPr>
        <w:t>Backtesting</w:t>
      </w:r>
      <w:proofErr w:type="spellEnd"/>
      <w:r w:rsidRPr="005B30C1">
        <w:rPr>
          <w:rFonts w:eastAsia="Times New Roman"/>
          <w:lang w:val="el-GR"/>
        </w:rPr>
        <w:t xml:space="preserve"> και έλεγχος </w:t>
      </w:r>
      <w:r>
        <w:rPr>
          <w:rFonts w:eastAsia="Times New Roman"/>
        </w:rPr>
        <w:t>Kupiec</w:t>
      </w:r>
      <w:bookmarkEnd w:id="27"/>
    </w:p>
    <w:p w14:paraId="5BABB7A0" w14:textId="77777777" w:rsidR="00FC097F" w:rsidRPr="005B30C1" w:rsidRDefault="00FC097F" w:rsidP="00FC097F">
      <w:pPr>
        <w:ind w:firstLine="357"/>
        <w:rPr>
          <w:lang w:val="el-GR"/>
        </w:rPr>
      </w:pPr>
      <w:r w:rsidRPr="00FC097F">
        <w:rPr>
          <w:lang w:val="el-GR"/>
        </w:rPr>
        <w:t xml:space="preserve">Το </w:t>
      </w:r>
      <w:proofErr w:type="spellStart"/>
      <w:r>
        <w:t>backtesting</w:t>
      </w:r>
      <w:proofErr w:type="spellEnd"/>
      <w:r w:rsidRPr="00FC097F">
        <w:rPr>
          <w:lang w:val="el-GR"/>
        </w:rPr>
        <w:t xml:space="preserve"> (εκ των υστέρων έλεγχος) είναι η διαδικασία σύγκρισης των προβλέψεων </w:t>
      </w:r>
      <w:proofErr w:type="spellStart"/>
      <w:r>
        <w:t>VaR</w:t>
      </w:r>
      <w:proofErr w:type="spellEnd"/>
      <w:r w:rsidRPr="00FC097F">
        <w:rPr>
          <w:lang w:val="el-GR"/>
        </w:rPr>
        <w:t xml:space="preserve"> με τις πραγματικές αποδόσεις που παρατηρήθηκαν στη συνέχεια. Αν ένα μοντέλο </w:t>
      </w:r>
      <w:proofErr w:type="spellStart"/>
      <w:r>
        <w:t>VaR</w:t>
      </w:r>
      <w:proofErr w:type="spellEnd"/>
      <w:r w:rsidRPr="00FC097F">
        <w:rPr>
          <w:lang w:val="el-GR"/>
        </w:rPr>
        <w:t xml:space="preserve"> 99% λειτουργεί σωστά, τότε οι εξαιρέσεις πρέπει να εμφανίζονται περίπου στο 1% των ημερών. Εξαίρεση καταγράφεται όταν η πραγματική ζημία είναι μεγαλύτερη από την εκτιμημένη </w:t>
      </w:r>
      <w:proofErr w:type="spellStart"/>
      <w:r>
        <w:t>VaR</w:t>
      </w:r>
      <w:proofErr w:type="spellEnd"/>
      <w:r w:rsidRPr="00FC097F">
        <w:rPr>
          <w:lang w:val="el-GR"/>
        </w:rPr>
        <w:t xml:space="preserve">. Με όρους αποδόσεων, εφόσον η </w:t>
      </w:r>
      <w:proofErr w:type="spellStart"/>
      <w:r>
        <w:t>VaR</w:t>
      </w:r>
      <w:proofErr w:type="spellEnd"/>
      <w:r w:rsidRPr="00FC097F">
        <w:rPr>
          <w:lang w:val="el-GR"/>
        </w:rPr>
        <w:t xml:space="preserve"> εκφράζεται ως θετικός αριθμός ζημίας, εξαίρεση έχουμε όταν: (</w:t>
      </w:r>
      <w:r>
        <w:t>Kupiec</w:t>
      </w:r>
      <w:r w:rsidRPr="00FC097F">
        <w:rPr>
          <w:lang w:val="el-GR"/>
        </w:rPr>
        <w:t xml:space="preserve">, 1995; </w:t>
      </w:r>
      <w:r>
        <w:t>Christoffersen</w:t>
      </w:r>
      <w:r w:rsidRPr="00FC097F">
        <w:rPr>
          <w:lang w:val="el-GR"/>
        </w:rPr>
        <w:t>, 2003)</w:t>
      </w:r>
    </w:p>
    <w:p w14:paraId="65B06644" w14:textId="0CCF0B44" w:rsidR="00FC097F" w:rsidRPr="00FC097F" w:rsidRDefault="00B06BF3" w:rsidP="00FC097F">
      <w:pPr>
        <w:pStyle w:val="af"/>
        <w:tabs>
          <w:tab w:val="right" w:leader="dot" w:pos="8504"/>
          <w:tab w:val="right" w:pos="9072"/>
        </w:tabs>
        <w:jc w:val="center"/>
        <w:rPr>
          <w:lang w:val="el-GR"/>
        </w:rPr>
      </w:pPr>
      <m:oMath>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&lt;-</m:t>
        </m:r>
        <m:sSub>
          <m:sSubPr>
            <m:ctrlPr>
              <w:rPr>
                <w:rFonts w:ascii="Cambria Math" w:hAnsi="Cambria Math"/>
              </w:rPr>
            </m:ctrlPr>
          </m:sSubPr>
          <m:e>
            <m:r>
              <m:rPr>
                <m:sty m:val="p"/>
              </m:rPr>
              <w:rPr>
                <w:rFonts w:ascii="Cambria Math" w:hAnsi="Cambria Math"/>
              </w:rPr>
              <m:t>VaR</m:t>
            </m:r>
          </m:e>
          <m:sub>
            <m:r>
              <w:rPr>
                <w:rFonts w:ascii="Cambria Math" w:hAnsi="Cambria Math"/>
              </w:rPr>
              <m:t>t</m:t>
            </m:r>
          </m:sub>
        </m:sSub>
        <m:r>
          <w:rPr>
            <w:rFonts w:ascii="Cambria Math" w:hAnsi="Cambria Math"/>
            <w:lang w:val="el-GR"/>
          </w:rPr>
          <m:t xml:space="preserve"> </m:t>
        </m:r>
      </m:oMath>
      <w:r w:rsidR="00FC097F" w:rsidRPr="00FC097F">
        <w:rPr>
          <w:lang w:val="el-GR"/>
        </w:rPr>
        <w:t>(2.6)</w:t>
      </w:r>
    </w:p>
    <w:p w14:paraId="3B50232F" w14:textId="77777777" w:rsidR="00FC097F" w:rsidRPr="005B30C1" w:rsidRDefault="00FC097F" w:rsidP="00FC097F">
      <w:pPr>
        <w:ind w:firstLine="357"/>
        <w:rPr>
          <w:lang w:val="el-GR"/>
        </w:rPr>
      </w:pPr>
      <w:r w:rsidRPr="005B30C1">
        <w:rPr>
          <w:lang w:val="el-GR"/>
        </w:rPr>
        <w:lastRenderedPageBreak/>
        <w:t xml:space="preserve">Για τη στατιστική αξιολόγηση των εξαιρέσεων χρησιμοποιείται ο έλεγχος </w:t>
      </w:r>
      <w:r>
        <w:t>Kupiec</w:t>
      </w:r>
      <w:r w:rsidRPr="005B30C1">
        <w:rPr>
          <w:lang w:val="el-GR"/>
        </w:rPr>
        <w:t xml:space="preserve">, γνωστός και ως έλεγχος ανεπιφύλακτης κάλυψης. Ο έλεγχος εξετάζει αν το πραγματικό ποσοστό εξαιρέσεων διαφέρει στατιστικά από το αναμενόμενο ποσοστό. Αν </w:t>
      </w:r>
      <m:oMath>
        <m:r>
          <w:rPr>
            <w:rFonts w:ascii="Cambria Math" w:hAnsi="Cambria Math"/>
          </w:rPr>
          <m:t>T</m:t>
        </m:r>
      </m:oMath>
      <w:r w:rsidRPr="005B30C1">
        <w:rPr>
          <w:lang w:val="el-GR"/>
        </w:rPr>
        <w:t xml:space="preserve"> είναι ο αριθμός των παρατηρήσεων, </w:t>
      </w:r>
      <m:oMath>
        <m:r>
          <w:rPr>
            <w:rFonts w:ascii="Cambria Math" w:hAnsi="Cambria Math"/>
          </w:rPr>
          <m:t>x</m:t>
        </m:r>
      </m:oMath>
      <w:r w:rsidRPr="005B30C1">
        <w:rPr>
          <w:lang w:val="el-GR"/>
        </w:rPr>
        <w:t xml:space="preserve"> ο αριθμός εξαιρέσεων και </w:t>
      </w:r>
      <m:oMath>
        <m:r>
          <w:rPr>
            <w:rFonts w:ascii="Cambria Math" w:hAnsi="Cambria Math"/>
          </w:rPr>
          <m:t>p</m:t>
        </m:r>
      </m:oMath>
      <w:r w:rsidRPr="005B30C1">
        <w:rPr>
          <w:lang w:val="el-GR"/>
        </w:rPr>
        <w:t xml:space="preserve"> η αναμενόμενη πιθανότητα εξαίρεσης, τότε ο λόγος πιθανοφάνειας δίνεται από τη σχέση:</w:t>
      </w:r>
    </w:p>
    <w:p w14:paraId="0C628BCF" w14:textId="73B1DF7C" w:rsidR="00FC097F" w:rsidRPr="00FC097F" w:rsidRDefault="00FC097F" w:rsidP="00FC097F">
      <w:pPr>
        <w:pStyle w:val="af"/>
        <w:tabs>
          <w:tab w:val="right" w:leader="dot" w:pos="8504"/>
          <w:tab w:val="right" w:pos="9072"/>
        </w:tabs>
        <w:jc w:val="center"/>
        <w:rPr>
          <w:lang w:val="el-GR"/>
        </w:rPr>
      </w:pPr>
      <m:oMath>
        <m:r>
          <w:rPr>
            <w:rFonts w:ascii="Cambria Math" w:hAnsi="Cambria Math"/>
          </w:rPr>
          <m:t>L</m:t>
        </m:r>
        <m:sSub>
          <m:sSubPr>
            <m:ctrlPr>
              <w:rPr>
                <w:rFonts w:ascii="Cambria Math" w:hAnsi="Cambria Math"/>
              </w:rPr>
            </m:ctrlPr>
          </m:sSubPr>
          <m:e>
            <m:r>
              <w:rPr>
                <w:rFonts w:ascii="Cambria Math" w:hAnsi="Cambria Math"/>
              </w:rPr>
              <m:t>R</m:t>
            </m:r>
          </m:e>
          <m:sub>
            <m:r>
              <w:rPr>
                <w:rFonts w:ascii="Cambria Math" w:hAnsi="Cambria Math"/>
              </w:rPr>
              <m:t>uc</m:t>
            </m:r>
          </m:sub>
        </m:sSub>
        <m:r>
          <m:rPr>
            <m:sty m:val="p"/>
          </m:rPr>
          <w:rPr>
            <w:rFonts w:ascii="Cambria Math" w:hAnsi="Cambria Math"/>
            <w:lang w:val="el-GR"/>
          </w:rPr>
          <m:t>=-</m:t>
        </m:r>
        <m:r>
          <w:rPr>
            <w:rFonts w:ascii="Cambria Math" w:hAnsi="Cambria Math"/>
            <w:lang w:val="el-GR"/>
          </w:rPr>
          <m:t>2</m:t>
        </m:r>
        <m:r>
          <m:rPr>
            <m:sty m:val="p"/>
          </m:rPr>
          <w:rPr>
            <w:rFonts w:ascii="Cambria Math" w:hAnsi="Cambria Math"/>
          </w:rPr>
          <m:t>ln</m:t>
        </m:r>
        <m:d>
          <m:dPr>
            <m:begChr m:val="["/>
            <m:endChr m:val="]"/>
            <m:ctrlPr>
              <w:rPr>
                <w:rFonts w:ascii="Cambria Math" w:hAnsi="Cambria Math"/>
              </w:rPr>
            </m:ctrlPr>
          </m:dPr>
          <m:e>
            <m:f>
              <m:fPr>
                <m:ctrlPr>
                  <w:rPr>
                    <w:rFonts w:ascii="Cambria Math" w:hAnsi="Cambria Math"/>
                  </w:rPr>
                </m:ctrlPr>
              </m:fPr>
              <m:num>
                <m:sSup>
                  <m:sSupPr>
                    <m:ctrlPr>
                      <w:rPr>
                        <w:rFonts w:ascii="Cambria Math" w:hAnsi="Cambria Math"/>
                      </w:rPr>
                    </m:ctrlPr>
                  </m:sSupPr>
                  <m:e>
                    <m:d>
                      <m:dPr>
                        <m:ctrlPr>
                          <w:rPr>
                            <w:rFonts w:ascii="Cambria Math" w:hAnsi="Cambria Math"/>
                          </w:rPr>
                        </m:ctrlPr>
                      </m:dPr>
                      <m:e>
                        <m:r>
                          <w:rPr>
                            <w:rFonts w:ascii="Cambria Math" w:hAnsi="Cambria Math"/>
                            <w:lang w:val="el-GR"/>
                          </w:rPr>
                          <m:t>1</m:t>
                        </m:r>
                        <m:r>
                          <m:rPr>
                            <m:sty m:val="p"/>
                          </m:rPr>
                          <w:rPr>
                            <w:rFonts w:ascii="Cambria Math" w:hAnsi="Cambria Math"/>
                            <w:lang w:val="el-GR"/>
                          </w:rPr>
                          <m:t>-</m:t>
                        </m:r>
                        <m:r>
                          <w:rPr>
                            <w:rFonts w:ascii="Cambria Math" w:hAnsi="Cambria Math"/>
                          </w:rPr>
                          <m:t>p</m:t>
                        </m:r>
                      </m:e>
                    </m:d>
                  </m:e>
                  <m:sup>
                    <m:r>
                      <w:rPr>
                        <w:rFonts w:ascii="Cambria Math" w:hAnsi="Cambria Math"/>
                      </w:rPr>
                      <m:t>T</m:t>
                    </m:r>
                    <m:r>
                      <m:rPr>
                        <m:sty m:val="p"/>
                      </m:rPr>
                      <w:rPr>
                        <w:rFonts w:ascii="Cambria Math" w:hAnsi="Cambria Math"/>
                        <w:lang w:val="el-GR"/>
                      </w:rPr>
                      <m:t>-</m:t>
                    </m:r>
                    <m:r>
                      <w:rPr>
                        <w:rFonts w:ascii="Cambria Math" w:hAnsi="Cambria Math"/>
                      </w:rPr>
                      <m:t>x</m:t>
                    </m:r>
                  </m:sup>
                </m:sSup>
                <m:sSup>
                  <m:sSupPr>
                    <m:ctrlPr>
                      <w:rPr>
                        <w:rFonts w:ascii="Cambria Math" w:hAnsi="Cambria Math"/>
                      </w:rPr>
                    </m:ctrlPr>
                  </m:sSupPr>
                  <m:e>
                    <m:r>
                      <w:rPr>
                        <w:rFonts w:ascii="Cambria Math" w:hAnsi="Cambria Math"/>
                      </w:rPr>
                      <m:t>p</m:t>
                    </m:r>
                  </m:e>
                  <m:sup>
                    <m:r>
                      <w:rPr>
                        <w:rFonts w:ascii="Cambria Math" w:hAnsi="Cambria Math"/>
                      </w:rPr>
                      <m:t>x</m:t>
                    </m:r>
                  </m:sup>
                </m:sSup>
              </m:num>
              <m:den>
                <m:sSup>
                  <m:sSupPr>
                    <m:ctrlPr>
                      <w:rPr>
                        <w:rFonts w:ascii="Cambria Math" w:hAnsi="Cambria Math"/>
                      </w:rPr>
                    </m:ctrlPr>
                  </m:sSupPr>
                  <m:e>
                    <m:d>
                      <m:dPr>
                        <m:ctrlPr>
                          <w:rPr>
                            <w:rFonts w:ascii="Cambria Math" w:hAnsi="Cambria Math"/>
                          </w:rPr>
                        </m:ctrlPr>
                      </m:dPr>
                      <m:e>
                        <m:r>
                          <w:rPr>
                            <w:rFonts w:ascii="Cambria Math" w:hAnsi="Cambria Math"/>
                            <w:lang w:val="el-GR"/>
                          </w:rPr>
                          <m:t>1</m:t>
                        </m:r>
                        <m:r>
                          <m:rPr>
                            <m:sty m:val="p"/>
                          </m:rPr>
                          <w:rPr>
                            <w:rFonts w:ascii="Cambria Math" w:hAnsi="Cambria Math"/>
                            <w:lang w:val="el-GR"/>
                          </w:rPr>
                          <m:t>-</m:t>
                        </m:r>
                        <m:acc>
                          <m:accPr>
                            <m:ctrlPr>
                              <w:rPr>
                                <w:rFonts w:ascii="Cambria Math" w:hAnsi="Cambria Math"/>
                              </w:rPr>
                            </m:ctrlPr>
                          </m:accPr>
                          <m:e>
                            <m:r>
                              <w:rPr>
                                <w:rFonts w:ascii="Cambria Math" w:hAnsi="Cambria Math"/>
                              </w:rPr>
                              <m:t>p</m:t>
                            </m:r>
                          </m:e>
                        </m:acc>
                      </m:e>
                    </m:d>
                  </m:e>
                  <m:sup>
                    <m:r>
                      <w:rPr>
                        <w:rFonts w:ascii="Cambria Math" w:hAnsi="Cambria Math"/>
                      </w:rPr>
                      <m:t>T</m:t>
                    </m:r>
                    <m:r>
                      <m:rPr>
                        <m:sty m:val="p"/>
                      </m:rPr>
                      <w:rPr>
                        <w:rFonts w:ascii="Cambria Math" w:hAnsi="Cambria Math"/>
                        <w:lang w:val="el-GR"/>
                      </w:rPr>
                      <m:t>-</m:t>
                    </m:r>
                    <m:r>
                      <w:rPr>
                        <w:rFonts w:ascii="Cambria Math" w:hAnsi="Cambria Math"/>
                      </w:rPr>
                      <m:t>x</m:t>
                    </m:r>
                  </m:sup>
                </m:sSup>
                <m:sSup>
                  <m:sSupPr>
                    <m:ctrlPr>
                      <w:rPr>
                        <w:rFonts w:ascii="Cambria Math" w:hAnsi="Cambria Math"/>
                      </w:rPr>
                    </m:ctrlPr>
                  </m:sSupPr>
                  <m:e>
                    <m:acc>
                      <m:accPr>
                        <m:ctrlPr>
                          <w:rPr>
                            <w:rFonts w:ascii="Cambria Math" w:hAnsi="Cambria Math"/>
                          </w:rPr>
                        </m:ctrlPr>
                      </m:accPr>
                      <m:e>
                        <m:r>
                          <w:rPr>
                            <w:rFonts w:ascii="Cambria Math" w:hAnsi="Cambria Math"/>
                          </w:rPr>
                          <m:t>p</m:t>
                        </m:r>
                      </m:e>
                    </m:acc>
                  </m:e>
                  <m:sup>
                    <m:r>
                      <w:rPr>
                        <w:rFonts w:ascii="Cambria Math" w:hAnsi="Cambria Math"/>
                      </w:rPr>
                      <m:t>x</m:t>
                    </m:r>
                  </m:sup>
                </m:sSup>
              </m:den>
            </m:f>
          </m:e>
        </m:d>
        <m:r>
          <w:rPr>
            <w:rFonts w:ascii="Cambria Math" w:hAnsi="Cambria Math"/>
            <w:lang w:val="el-GR"/>
          </w:rPr>
          <m:t xml:space="preserve"> </m:t>
        </m:r>
      </m:oMath>
      <w:r w:rsidRPr="00FC097F">
        <w:rPr>
          <w:lang w:val="el-GR"/>
        </w:rPr>
        <w:t>(2.7)</w:t>
      </w:r>
    </w:p>
    <w:p w14:paraId="3B9A2D7C" w14:textId="77777777" w:rsidR="00FC097F" w:rsidRPr="005B30C1" w:rsidRDefault="00FC097F" w:rsidP="00FC097F">
      <w:pPr>
        <w:ind w:firstLine="357"/>
        <w:rPr>
          <w:lang w:val="el-GR"/>
        </w:rPr>
      </w:pPr>
      <w:r w:rsidRPr="005B30C1">
        <w:rPr>
          <w:lang w:val="el-GR"/>
        </w:rPr>
        <w:t xml:space="preserve">όπου </w:t>
      </w:r>
      <m:oMath>
        <m:acc>
          <m:accPr>
            <m:ctrlPr>
              <w:rPr>
                <w:rFonts w:ascii="Cambria Math" w:hAnsi="Cambria Math"/>
              </w:rPr>
            </m:ctrlPr>
          </m:accPr>
          <m:e>
            <m:r>
              <w:rPr>
                <w:rFonts w:ascii="Cambria Math" w:hAnsi="Cambria Math"/>
              </w:rPr>
              <m:t>p</m:t>
            </m:r>
          </m:e>
        </m:acc>
        <m:r>
          <m:rPr>
            <m:sty m:val="p"/>
          </m:rPr>
          <w:rPr>
            <w:rFonts w:ascii="Cambria Math" w:hAnsi="Cambria Math"/>
            <w:lang w:val="el-GR"/>
          </w:rPr>
          <m:t>=</m:t>
        </m:r>
        <m:r>
          <w:rPr>
            <w:rFonts w:ascii="Cambria Math" w:hAnsi="Cambria Math"/>
          </w:rPr>
          <m:t>x</m:t>
        </m:r>
        <m:r>
          <m:rPr>
            <m:sty m:val="p"/>
          </m:rPr>
          <w:rPr>
            <w:rFonts w:ascii="Cambria Math" w:hAnsi="Cambria Math"/>
            <w:lang w:val="el-GR"/>
          </w:rPr>
          <m:t>/</m:t>
        </m:r>
        <m:r>
          <w:rPr>
            <w:rFonts w:ascii="Cambria Math" w:hAnsi="Cambria Math"/>
          </w:rPr>
          <m:t>T</m:t>
        </m:r>
      </m:oMath>
      <w:r w:rsidRPr="005B30C1">
        <w:rPr>
          <w:lang w:val="el-GR"/>
        </w:rPr>
        <w:t xml:space="preserve"> είναι το πραγματικό ποσοστό εξαιρέσεων. Η στατιστική </w:t>
      </w:r>
      <m:oMath>
        <m:r>
          <w:rPr>
            <w:rFonts w:ascii="Cambria Math" w:hAnsi="Cambria Math"/>
          </w:rPr>
          <m:t>L</m:t>
        </m:r>
        <m:sSub>
          <m:sSubPr>
            <m:ctrlPr>
              <w:rPr>
                <w:rFonts w:ascii="Cambria Math" w:hAnsi="Cambria Math"/>
              </w:rPr>
            </m:ctrlPr>
          </m:sSubPr>
          <m:e>
            <m:r>
              <w:rPr>
                <w:rFonts w:ascii="Cambria Math" w:hAnsi="Cambria Math"/>
              </w:rPr>
              <m:t>R</m:t>
            </m:r>
          </m:e>
          <m:sub>
            <m:r>
              <w:rPr>
                <w:rFonts w:ascii="Cambria Math" w:hAnsi="Cambria Math"/>
              </w:rPr>
              <m:t>uc</m:t>
            </m:r>
          </m:sub>
        </m:sSub>
      </m:oMath>
      <w:r w:rsidRPr="005B30C1">
        <w:rPr>
          <w:lang w:val="el-GR"/>
        </w:rPr>
        <w:t xml:space="preserve"> ακολουθεί ασυμπτωτικά κατανομή </w:t>
      </w:r>
      <m:oMath>
        <m:sSup>
          <m:sSupPr>
            <m:ctrlPr>
              <w:rPr>
                <w:rFonts w:ascii="Cambria Math" w:hAnsi="Cambria Math"/>
              </w:rPr>
            </m:ctrlPr>
          </m:sSupPr>
          <m:e>
            <m:r>
              <w:rPr>
                <w:rFonts w:ascii="Cambria Math" w:hAnsi="Cambria Math"/>
              </w:rPr>
              <m:t>χ</m:t>
            </m:r>
          </m:e>
          <m:sup>
            <m:r>
              <w:rPr>
                <w:rFonts w:ascii="Cambria Math" w:hAnsi="Cambria Math"/>
                <w:lang w:val="el-GR"/>
              </w:rPr>
              <m:t>2</m:t>
            </m:r>
          </m:sup>
        </m:sSup>
      </m:oMath>
      <w:r w:rsidRPr="005B30C1">
        <w:rPr>
          <w:lang w:val="el-GR"/>
        </w:rPr>
        <w:t xml:space="preserve"> με έναν βαθμό ελευθερίας. Αν το </w:t>
      </w:r>
      <w:r>
        <w:t>p</w:t>
      </w:r>
      <w:r w:rsidRPr="005B30C1">
        <w:rPr>
          <w:lang w:val="el-GR"/>
        </w:rPr>
        <w:t>-</w:t>
      </w:r>
      <w:r>
        <w:t>value</w:t>
      </w:r>
      <w:r w:rsidRPr="005B30C1">
        <w:rPr>
          <w:lang w:val="el-GR"/>
        </w:rPr>
        <w:t xml:space="preserve"> είναι μικρότερο από το επιλεγμένο επίπεδο σημαντικότητας, απορρίπτεται η υπόθεση ότι το μοντέλο έχει σωστή κάλυψη.</w:t>
      </w:r>
    </w:p>
    <w:p w14:paraId="24CFCB1C" w14:textId="77777777" w:rsidR="00FC097F" w:rsidRPr="005B30C1" w:rsidRDefault="00FC097F" w:rsidP="00FC097F">
      <w:pPr>
        <w:pStyle w:val="af"/>
        <w:rPr>
          <w:lang w:val="el-GR"/>
        </w:rPr>
      </w:pPr>
      <w:r w:rsidRPr="005B30C1">
        <w:rPr>
          <w:lang w:val="el-GR"/>
        </w:rPr>
        <w:t xml:space="preserve">Το </w:t>
      </w:r>
      <w:proofErr w:type="spellStart"/>
      <w:r>
        <w:t>backtesting</w:t>
      </w:r>
      <w:proofErr w:type="spellEnd"/>
      <w:r w:rsidRPr="005B30C1">
        <w:rPr>
          <w:lang w:val="el-GR"/>
        </w:rPr>
        <w:t xml:space="preserve"> έχει ιδιαίτερη σημασία διότι μετατρέπει τη συζήτηση για την </w:t>
      </w:r>
      <w:proofErr w:type="spellStart"/>
      <w:r w:rsidRPr="005B30C1">
        <w:rPr>
          <w:lang w:val="el-GR"/>
        </w:rPr>
        <w:t>καταλληλότητα</w:t>
      </w:r>
      <w:proofErr w:type="spellEnd"/>
      <w:r w:rsidRPr="005B30C1">
        <w:rPr>
          <w:lang w:val="el-GR"/>
        </w:rPr>
        <w:t xml:space="preserve"> ενός μοντέλου σε εμπειρικά ελέγξιμο ερώτημα. Χωρίς </w:t>
      </w:r>
      <w:proofErr w:type="spellStart"/>
      <w:r>
        <w:t>backtesting</w:t>
      </w:r>
      <w:proofErr w:type="spellEnd"/>
      <w:r w:rsidRPr="005B30C1">
        <w:rPr>
          <w:lang w:val="el-GR"/>
        </w:rPr>
        <w:t xml:space="preserve">, ένα μοντέλο </w:t>
      </w:r>
      <w:proofErr w:type="spellStart"/>
      <w:r>
        <w:t>VaR</w:t>
      </w:r>
      <w:proofErr w:type="spellEnd"/>
      <w:r w:rsidRPr="005B30C1">
        <w:rPr>
          <w:lang w:val="el-GR"/>
        </w:rPr>
        <w:t xml:space="preserve"> μπορεί να φαίνεται λογικό επειδή παράγει αριθμούς με σωστή μαθηματική μορφή, αλλά να αποτυγχάνει συστηματικά στην πράξη. Ο έλεγχος </w:t>
      </w:r>
      <w:r>
        <w:t>Kupiec</w:t>
      </w:r>
      <w:r w:rsidRPr="005B30C1">
        <w:rPr>
          <w:lang w:val="el-GR"/>
        </w:rPr>
        <w:t xml:space="preserve"> εξετάζει την ανεπιφύλακτη κάλυψη, δηλαδή αν ο συνολικός αριθμός παραβιάσεων είναι συμβατός με την αναμενόμενη πιθανότητα. Δεν εξετάζει όμως αν οι παραβιάσεις είναι χρονικά ανεξάρτητες. Ένα μοντέλο μπορεί να έχει περίπου σωστό συνολικό αριθμό εξαιρέσεων, αλλά οι εξαιρέσεις να εμφανίζονται συγκεντρωμένες σε περιόδους κρίσης. Αυτό θα σήμαινε ότι το μοντέλο δεν προσαρμόζεται σωστά στη δυναμική της μεταβλητότητας.</w:t>
      </w:r>
    </w:p>
    <w:p w14:paraId="52AFBB93" w14:textId="77777777" w:rsidR="00FC097F" w:rsidRPr="005B30C1" w:rsidRDefault="00FC097F" w:rsidP="00FC097F">
      <w:pPr>
        <w:pStyle w:val="af"/>
        <w:rPr>
          <w:lang w:val="el-GR"/>
        </w:rPr>
      </w:pPr>
      <w:r w:rsidRPr="005B30C1">
        <w:rPr>
          <w:lang w:val="el-GR"/>
        </w:rPr>
        <w:t xml:space="preserve">Ο έλεγχος </w:t>
      </w:r>
      <w:r>
        <w:t>Kupiec</w:t>
      </w:r>
      <w:r w:rsidRPr="005B30C1">
        <w:rPr>
          <w:lang w:val="el-GR"/>
        </w:rPr>
        <w:t xml:space="preserve"> χρησιμοποιείται επειδή παρέχει καθαρό και εύκολα ερμηνεύσιμο έλεγχο για το αν η συχνότητα παραβιάσεων είναι αποδεκτή σε επίπεδο εμπιστοσύνης 99%. Η επιλογή αυτή είναι συνεπής με τον σκοπό της εργασίας, ο οποίος δεν είναι να εξαντλήσει όλες τις μορφές </w:t>
      </w:r>
      <w:proofErr w:type="spellStart"/>
      <w:r>
        <w:t>backtesting</w:t>
      </w:r>
      <w:proofErr w:type="spellEnd"/>
      <w:r w:rsidRPr="005B30C1">
        <w:rPr>
          <w:lang w:val="el-GR"/>
        </w:rPr>
        <w:t xml:space="preserve">, αλλά να δείξει με διαφανή τρόπο αν οι δύο μεθοδολογίες </w:t>
      </w:r>
      <w:proofErr w:type="spellStart"/>
      <w:r>
        <w:t>VaR</w:t>
      </w:r>
      <w:proofErr w:type="spellEnd"/>
      <w:r w:rsidRPr="005B30C1">
        <w:rPr>
          <w:lang w:val="el-GR"/>
        </w:rPr>
        <w:t xml:space="preserve"> μπορούν να θεωρηθούν αξιόπιστες για το συγκεκριμένο χαρτοφυλάκιο.</w:t>
      </w:r>
    </w:p>
    <w:p w14:paraId="3ABBDE67" w14:textId="77777777" w:rsidR="00FC097F" w:rsidRPr="005B30C1" w:rsidRDefault="00FC097F" w:rsidP="00321E2E">
      <w:pPr>
        <w:pStyle w:val="21"/>
        <w:rPr>
          <w:lang w:val="el-GR"/>
        </w:rPr>
      </w:pPr>
      <w:bookmarkStart w:id="29" w:name="_Toc232171075"/>
      <w:bookmarkStart w:id="30" w:name="αντιστάθμιση-με-futures"/>
      <w:bookmarkEnd w:id="28"/>
      <w:r w:rsidRPr="005B30C1">
        <w:rPr>
          <w:rFonts w:eastAsia="Times New Roman"/>
          <w:lang w:val="el-GR"/>
        </w:rPr>
        <w:t xml:space="preserve">2.7 Αντιστάθμιση με </w:t>
      </w:r>
      <w:r>
        <w:rPr>
          <w:rFonts w:eastAsia="Times New Roman"/>
        </w:rPr>
        <w:t>futures</w:t>
      </w:r>
      <w:bookmarkEnd w:id="29"/>
    </w:p>
    <w:p w14:paraId="544FF3C0" w14:textId="77777777" w:rsidR="00FC097F" w:rsidRPr="005B30C1" w:rsidRDefault="00FC097F" w:rsidP="00FC097F">
      <w:pPr>
        <w:ind w:firstLine="357"/>
        <w:rPr>
          <w:lang w:val="el-GR"/>
        </w:rPr>
      </w:pPr>
      <w:r w:rsidRPr="005B30C1">
        <w:rPr>
          <w:lang w:val="el-GR"/>
        </w:rPr>
        <w:t xml:space="preserve">Η αντιστάθμιση αποτελεί τεχνική μείωσης κινδύνου μέσω λήψης αντίθετης θέσης σε άλλο χρηματοοικονομικό μέσο. Ως εργαλείο αντιστάθμισης χρησιμοποιείται </w:t>
      </w:r>
      <w:r>
        <w:t>E</w:t>
      </w:r>
      <w:r w:rsidRPr="005B30C1">
        <w:rPr>
          <w:lang w:val="el-GR"/>
        </w:rPr>
        <w:t>-</w:t>
      </w:r>
      <w:r>
        <w:t>mini</w:t>
      </w:r>
      <w:r w:rsidRPr="005B30C1">
        <w:rPr>
          <w:lang w:val="el-GR"/>
        </w:rPr>
        <w:t xml:space="preserve"> </w:t>
      </w:r>
      <w:r>
        <w:t>S</w:t>
      </w:r>
      <w:r w:rsidRPr="005B30C1">
        <w:rPr>
          <w:lang w:val="el-GR"/>
        </w:rPr>
        <w:t>&amp;</w:t>
      </w:r>
      <w:r>
        <w:t>P</w:t>
      </w:r>
      <w:r w:rsidRPr="005B30C1">
        <w:rPr>
          <w:lang w:val="el-GR"/>
        </w:rPr>
        <w:t xml:space="preserve"> 500 </w:t>
      </w:r>
      <w:r>
        <w:t>futures</w:t>
      </w:r>
      <w:r w:rsidRPr="005B30C1">
        <w:rPr>
          <w:lang w:val="el-GR"/>
        </w:rPr>
        <w:t xml:space="preserve">, επειδή το αρχικό χαρτοφυλάκιο αποτελείται από αμερικανικές μετοχές μεγάλης κεφαλαιοποίησης. Το </w:t>
      </w:r>
      <w:r>
        <w:t>futures</w:t>
      </w:r>
      <w:r w:rsidRPr="005B30C1">
        <w:rPr>
          <w:lang w:val="el-GR"/>
        </w:rPr>
        <w:t xml:space="preserve"> δεν αντισταθμίζει τέλεια κάθε μετοχή, αλλά μπορεί να μειώσει την έκθεση του χαρτοφυλακίου στις γενικές κινήσεις της αγοράς (</w:t>
      </w:r>
      <w:proofErr w:type="spellStart"/>
      <w:r w:rsidRPr="005B30C1">
        <w:rPr>
          <w:lang w:val="el-GR"/>
        </w:rPr>
        <w:t>Hull</w:t>
      </w:r>
      <w:proofErr w:type="spellEnd"/>
      <w:r w:rsidRPr="005B30C1">
        <w:rPr>
          <w:lang w:val="el-GR"/>
        </w:rPr>
        <w:t xml:space="preserve">, 2018; </w:t>
      </w:r>
      <w:proofErr w:type="spellStart"/>
      <w:r w:rsidRPr="005B30C1">
        <w:rPr>
          <w:lang w:val="el-GR"/>
        </w:rPr>
        <w:t>Stulz</w:t>
      </w:r>
      <w:proofErr w:type="spellEnd"/>
      <w:r w:rsidRPr="005B30C1">
        <w:rPr>
          <w:lang w:val="el-GR"/>
        </w:rPr>
        <w:t>, 1996).</w:t>
      </w:r>
    </w:p>
    <w:p w14:paraId="1A4700E4" w14:textId="77777777" w:rsidR="00FC097F" w:rsidRPr="005B30C1" w:rsidRDefault="00FC097F" w:rsidP="00FC097F">
      <w:pPr>
        <w:pStyle w:val="af"/>
        <w:rPr>
          <w:lang w:val="el-GR"/>
        </w:rPr>
      </w:pPr>
      <w:r w:rsidRPr="005B30C1">
        <w:rPr>
          <w:lang w:val="el-GR"/>
        </w:rPr>
        <w:lastRenderedPageBreak/>
        <w:t xml:space="preserve">Ο βέλτιστος λόγος αντιστάθμισης εκτιμάται ως λόγος της </w:t>
      </w:r>
      <w:proofErr w:type="spellStart"/>
      <w:r w:rsidRPr="005B30C1">
        <w:rPr>
          <w:lang w:val="el-GR"/>
        </w:rPr>
        <w:t>συνδιακύμανσης</w:t>
      </w:r>
      <w:proofErr w:type="spellEnd"/>
      <w:r w:rsidRPr="005B30C1">
        <w:rPr>
          <w:lang w:val="el-GR"/>
        </w:rPr>
        <w:t xml:space="preserve"> της απόδοσης του χαρτοφυλακίου με την απόδοση του </w:t>
      </w:r>
      <w:r>
        <w:t>futures</w:t>
      </w:r>
      <w:r w:rsidRPr="005B30C1">
        <w:rPr>
          <w:lang w:val="el-GR"/>
        </w:rPr>
        <w:t xml:space="preserve"> προς τη διακύμανση της απόδοσης του </w:t>
      </w:r>
      <w:r>
        <w:t>futures</w:t>
      </w:r>
      <w:r w:rsidRPr="005B30C1">
        <w:rPr>
          <w:lang w:val="el-GR"/>
        </w:rPr>
        <w:t>:</w:t>
      </w:r>
    </w:p>
    <w:p w14:paraId="30F9F323" w14:textId="586B16E6" w:rsidR="00FC097F" w:rsidRPr="00FC097F" w:rsidRDefault="00B06BF3" w:rsidP="00FC097F">
      <w:pPr>
        <w:pStyle w:val="af"/>
        <w:tabs>
          <w:tab w:val="right" w:leader="dot" w:pos="8504"/>
          <w:tab w:val="right" w:pos="9072"/>
        </w:tabs>
        <w:jc w:val="center"/>
        <w:rPr>
          <w:lang w:val="el-GR"/>
        </w:rPr>
      </w:pPr>
      <m:oMath>
        <m:sSub>
          <m:sSubPr>
            <m:ctrlPr>
              <w:rPr>
                <w:rFonts w:ascii="Cambria Math" w:hAnsi="Cambria Math"/>
              </w:rPr>
            </m:ctrlPr>
          </m:sSubPr>
          <m:e>
            <m:r>
              <w:rPr>
                <w:rFonts w:ascii="Cambria Math" w:hAnsi="Cambria Math"/>
                <w:lang w:val="el-GR"/>
              </w:rPr>
              <m:t>h</m:t>
            </m:r>
          </m:e>
          <m:sub>
            <m:r>
              <w:rPr>
                <w:rFonts w:ascii="Cambria Math" w:hAnsi="Cambria Math"/>
              </w:rPr>
              <m:t>t</m:t>
            </m:r>
          </m:sub>
        </m:sSub>
        <m:r>
          <m:rPr>
            <m:sty m:val="p"/>
          </m:rPr>
          <w:rPr>
            <w:rFonts w:ascii="Cambria Math" w:hAnsi="Cambria Math"/>
            <w:lang w:val="el-GR"/>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Cov</m:t>
                </m:r>
              </m:e>
              <m:sub>
                <m:r>
                  <w:rPr>
                    <w:rFonts w:ascii="Cambria Math" w:hAnsi="Cambria Math"/>
                  </w:rPr>
                  <m:t>t</m:t>
                </m:r>
              </m:sub>
            </m:sSub>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m:t>
                </m:r>
                <m:sSub>
                  <m:sSubPr>
                    <m:ctrlPr>
                      <w:rPr>
                        <w:rFonts w:ascii="Cambria Math" w:hAnsi="Cambria Math"/>
                      </w:rPr>
                    </m:ctrlPr>
                  </m:sSubPr>
                  <m:e>
                    <m:r>
                      <w:rPr>
                        <w:rFonts w:ascii="Cambria Math" w:hAnsi="Cambria Math"/>
                      </w:rPr>
                      <m:t>r</m:t>
                    </m:r>
                  </m:e>
                  <m:sub>
                    <m:r>
                      <w:rPr>
                        <w:rFonts w:ascii="Cambria Math" w:hAnsi="Cambria Math"/>
                      </w:rPr>
                      <m:t>f</m:t>
                    </m:r>
                    <m:r>
                      <m:rPr>
                        <m:sty m:val="p"/>
                      </m:rPr>
                      <w:rPr>
                        <w:rFonts w:ascii="Cambria Math" w:hAnsi="Cambria Math"/>
                        <w:lang w:val="el-GR"/>
                      </w:rPr>
                      <m:t>,</m:t>
                    </m:r>
                    <m:r>
                      <w:rPr>
                        <w:rFonts w:ascii="Cambria Math" w:hAnsi="Cambria Math"/>
                      </w:rPr>
                      <m:t>t</m:t>
                    </m:r>
                  </m:sub>
                </m:sSub>
              </m:e>
            </m:d>
          </m:num>
          <m:den>
            <m:sSub>
              <m:sSubPr>
                <m:ctrlPr>
                  <w:rPr>
                    <w:rFonts w:ascii="Cambria Math" w:hAnsi="Cambria Math"/>
                  </w:rPr>
                </m:ctrlPr>
              </m:sSubPr>
              <m:e>
                <m:r>
                  <m:rPr>
                    <m:sty m:val="p"/>
                  </m:rPr>
                  <w:rPr>
                    <w:rFonts w:ascii="Cambria Math" w:hAnsi="Cambria Math"/>
                  </w:rPr>
                  <m:t>Var</m:t>
                </m:r>
              </m:e>
              <m:sub>
                <m:r>
                  <w:rPr>
                    <w:rFonts w:ascii="Cambria Math" w:hAnsi="Cambria Math"/>
                  </w:rPr>
                  <m:t>t</m:t>
                </m:r>
              </m:sub>
            </m:sSub>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f</m:t>
                    </m:r>
                    <m:r>
                      <m:rPr>
                        <m:sty m:val="p"/>
                      </m:rPr>
                      <w:rPr>
                        <w:rFonts w:ascii="Cambria Math" w:hAnsi="Cambria Math"/>
                        <w:lang w:val="el-GR"/>
                      </w:rPr>
                      <m:t>,</m:t>
                    </m:r>
                    <m:r>
                      <w:rPr>
                        <w:rFonts w:ascii="Cambria Math" w:hAnsi="Cambria Math"/>
                      </w:rPr>
                      <m:t>t</m:t>
                    </m:r>
                  </m:sub>
                </m:sSub>
              </m:e>
            </m:d>
          </m:den>
        </m:f>
        <m:r>
          <w:rPr>
            <w:rFonts w:ascii="Cambria Math" w:hAnsi="Cambria Math"/>
            <w:lang w:val="el-GR"/>
          </w:rPr>
          <m:t xml:space="preserve"> </m:t>
        </m:r>
      </m:oMath>
      <w:r w:rsidR="00FC097F" w:rsidRPr="00FC097F">
        <w:rPr>
          <w:lang w:val="el-GR"/>
        </w:rPr>
        <w:t>(2.8)</w:t>
      </w:r>
    </w:p>
    <w:p w14:paraId="7FF1440D" w14:textId="77777777" w:rsidR="00FC097F" w:rsidRPr="005B30C1" w:rsidRDefault="00FC097F" w:rsidP="00FC097F">
      <w:pPr>
        <w:ind w:firstLine="357"/>
        <w:rPr>
          <w:lang w:val="el-GR"/>
        </w:rPr>
      </w:pPr>
      <w:r w:rsidRPr="005B30C1">
        <w:rPr>
          <w:lang w:val="el-GR"/>
        </w:rPr>
        <w:t>Η αντισταθμισμένη απόδοση προκύπτει ως:</w:t>
      </w:r>
    </w:p>
    <w:p w14:paraId="65CCABB8" w14:textId="68623351" w:rsidR="00FC097F" w:rsidRPr="00FC097F" w:rsidRDefault="00B06BF3" w:rsidP="00FC097F">
      <w:pPr>
        <w:pStyle w:val="af"/>
        <w:tabs>
          <w:tab w:val="right" w:leader="dot" w:pos="8504"/>
          <w:tab w:val="right" w:pos="9072"/>
        </w:tabs>
        <w:jc w:val="center"/>
        <w:rPr>
          <w:lang w:val="el-GR"/>
        </w:rPr>
      </w:pPr>
      <m:oMath>
        <m:sSubSup>
          <m:sSubSupPr>
            <m:ctrlPr>
              <w:rPr>
                <w:rFonts w:ascii="Cambria Math" w:hAnsi="Cambria Math"/>
              </w:rPr>
            </m:ctrlPr>
          </m:sSubSup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sub>
          <m:sup>
            <m:r>
              <w:rPr>
                <w:rFonts w:ascii="Cambria Math" w:hAnsi="Cambria Math"/>
              </w:rPr>
              <m:t>H</m:t>
            </m:r>
          </m:sup>
        </m:sSubSup>
        <m:r>
          <m:rPr>
            <m:sty m:val="p"/>
          </m:rPr>
          <w:rPr>
            <w:rFonts w:ascii="Cambria Math" w:hAnsi="Cambria Math"/>
            <w:lang w:val="el-GR"/>
          </w:rPr>
          <m:t>=</m:t>
        </m:r>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m:t>
        </m:r>
        <m:sSub>
          <m:sSubPr>
            <m:ctrlPr>
              <w:rPr>
                <w:rFonts w:ascii="Cambria Math" w:hAnsi="Cambria Math"/>
              </w:rPr>
            </m:ctrlPr>
          </m:sSubPr>
          <m:e>
            <m:r>
              <w:rPr>
                <w:rFonts w:ascii="Cambria Math" w:hAnsi="Cambria Math"/>
                <w:lang w:val="el-GR"/>
              </w:rPr>
              <m:t>h</m:t>
            </m:r>
          </m:e>
          <m:sub>
            <m:r>
              <w:rPr>
                <w:rFonts w:ascii="Cambria Math" w:hAnsi="Cambria Math"/>
              </w:rPr>
              <m:t>t</m:t>
            </m:r>
          </m:sub>
        </m:sSub>
        <m:sSub>
          <m:sSubPr>
            <m:ctrlPr>
              <w:rPr>
                <w:rFonts w:ascii="Cambria Math" w:hAnsi="Cambria Math"/>
              </w:rPr>
            </m:ctrlPr>
          </m:sSubPr>
          <m:e>
            <m:r>
              <w:rPr>
                <w:rFonts w:ascii="Cambria Math" w:hAnsi="Cambria Math"/>
              </w:rPr>
              <m:t>r</m:t>
            </m:r>
          </m:e>
          <m:sub>
            <m:r>
              <w:rPr>
                <w:rFonts w:ascii="Cambria Math" w:hAnsi="Cambria Math"/>
              </w:rPr>
              <m:t>f</m:t>
            </m:r>
            <m:r>
              <m:rPr>
                <m:sty m:val="p"/>
              </m:rPr>
              <w:rPr>
                <w:rFonts w:ascii="Cambria Math" w:hAnsi="Cambria Math"/>
                <w:lang w:val="el-GR"/>
              </w:rPr>
              <m:t>,</m:t>
            </m:r>
            <m:r>
              <w:rPr>
                <w:rFonts w:ascii="Cambria Math" w:hAnsi="Cambria Math"/>
              </w:rPr>
              <m:t>t</m:t>
            </m:r>
          </m:sub>
        </m:sSub>
        <m:r>
          <w:rPr>
            <w:rFonts w:ascii="Cambria Math" w:hAnsi="Cambria Math"/>
            <w:lang w:val="el-GR"/>
          </w:rPr>
          <m:t xml:space="preserve"> </m:t>
        </m:r>
      </m:oMath>
      <w:r w:rsidR="00FC097F" w:rsidRPr="00FC097F">
        <w:rPr>
          <w:lang w:val="el-GR"/>
        </w:rPr>
        <w:t>(2.9)</w:t>
      </w:r>
    </w:p>
    <w:p w14:paraId="77E49B91" w14:textId="77777777" w:rsidR="00FC097F" w:rsidRPr="005B30C1" w:rsidRDefault="00FC097F" w:rsidP="00FC097F">
      <w:pPr>
        <w:ind w:firstLine="357"/>
        <w:rPr>
          <w:lang w:val="el-GR"/>
        </w:rPr>
      </w:pPr>
      <w:r w:rsidRPr="005B30C1">
        <w:rPr>
          <w:lang w:val="el-GR"/>
        </w:rPr>
        <w:t xml:space="preserve">Η σχέση αυτή αντιστοιχεί σε </w:t>
      </w:r>
      <w:r>
        <w:t>long</w:t>
      </w:r>
      <w:r w:rsidRPr="005B30C1">
        <w:rPr>
          <w:lang w:val="el-GR"/>
        </w:rPr>
        <w:t xml:space="preserve"> χαρτοφυλάκιο με </w:t>
      </w:r>
      <w:r>
        <w:t>short</w:t>
      </w:r>
      <w:r w:rsidRPr="005B30C1">
        <w:rPr>
          <w:lang w:val="el-GR"/>
        </w:rPr>
        <w:t xml:space="preserve"> θέση στο </w:t>
      </w:r>
      <w:r>
        <w:t>futures</w:t>
      </w:r>
      <w:r w:rsidRPr="005B30C1">
        <w:rPr>
          <w:lang w:val="el-GR"/>
        </w:rPr>
        <w:t xml:space="preserve">. Αν η αγορά πέσει, η ζημία του χαρτοφυλακίου μπορεί να αντισταθμιστεί εν μέρει από κέρδος στη θέση </w:t>
      </w:r>
      <w:r>
        <w:t>futures</w:t>
      </w:r>
      <w:r w:rsidRPr="005B30C1">
        <w:rPr>
          <w:lang w:val="el-GR"/>
        </w:rPr>
        <w:t>. Αν η αγορά ανέβει, η αντιστάθμιση περιορίζει μέρος των κερδών. Συνεπώς, ο σκοπός της αντιστάθμισης δεν είναι η μεγιστοποίηση απόδοσης, αλλά ο περιορισμός μεταβλητότητας και δυνητικής ζημίας.</w:t>
      </w:r>
    </w:p>
    <w:p w14:paraId="1830EED5" w14:textId="77777777" w:rsidR="00FC097F" w:rsidRPr="005B30C1" w:rsidRDefault="00FC097F" w:rsidP="00321E2E">
      <w:pPr>
        <w:pStyle w:val="21"/>
        <w:rPr>
          <w:lang w:val="el-GR"/>
        </w:rPr>
      </w:pPr>
      <w:bookmarkStart w:id="31" w:name="_Toc232171076"/>
      <w:bookmarkStart w:id="32" w:name="Xc9006a08d52771e91500b8ecb4f241dfa99351a"/>
      <w:bookmarkEnd w:id="30"/>
      <w:r w:rsidRPr="005B30C1">
        <w:rPr>
          <w:rFonts w:eastAsia="Times New Roman"/>
          <w:lang w:val="el-GR"/>
        </w:rPr>
        <w:t>2.8 Σύνθεση βιβλιογραφίας και επιλογή μεθόδων</w:t>
      </w:r>
      <w:bookmarkEnd w:id="31"/>
    </w:p>
    <w:p w14:paraId="28471D40" w14:textId="77777777" w:rsidR="00FC097F" w:rsidRPr="005B30C1" w:rsidRDefault="00FC097F" w:rsidP="00FC097F">
      <w:pPr>
        <w:ind w:firstLine="357"/>
        <w:rPr>
          <w:lang w:val="el-GR"/>
        </w:rPr>
      </w:pPr>
      <w:r w:rsidRPr="005B30C1">
        <w:rPr>
          <w:lang w:val="el-GR"/>
        </w:rPr>
        <w:t xml:space="preserve">Η βιβλιογραφική συζήτηση οδηγεί σε τρία βασικά συμπεράσματα. Πρώτον, ο κίνδυνος αγοράς είναι δυναμικός και δεν μπορεί να αποτυπωθεί πλήρως από ένα στατικό μέτρο. Η μεταβλητότητα μεταβάλλεται στον χρόνο, οι συσχετίσεις δεν είναι σταθερές και οι ακραίες ζημίες εμφανίζονται συχνότερα από ό,τι υποθέτουν απλά κανονικά υποδείγματα. Δεύτερον, η </w:t>
      </w:r>
      <w:proofErr w:type="spellStart"/>
      <w:r>
        <w:t>VaR</w:t>
      </w:r>
      <w:proofErr w:type="spellEnd"/>
      <w:r w:rsidRPr="005B30C1">
        <w:rPr>
          <w:lang w:val="el-GR"/>
        </w:rPr>
        <w:t xml:space="preserve"> είναι χρήσιμη επειδή παρέχει συνοπτικό και διοικητικά κατανοητό μέτρο δυνητικής ζημίας, αλλά έχει περιορισμούς που πρέπει να αναγνωρίζονται ρητά. Τρίτον, κανένα μοντέλο </w:t>
      </w:r>
      <w:proofErr w:type="spellStart"/>
      <w:r>
        <w:t>VaR</w:t>
      </w:r>
      <w:proofErr w:type="spellEnd"/>
      <w:r w:rsidRPr="005B30C1">
        <w:rPr>
          <w:lang w:val="el-GR"/>
        </w:rPr>
        <w:t xml:space="preserve"> δεν πρέπει να χρησιμοποιείται χωρίς </w:t>
      </w:r>
      <w:proofErr w:type="spellStart"/>
      <w:r>
        <w:t>backtesting</w:t>
      </w:r>
      <w:proofErr w:type="spellEnd"/>
      <w:r w:rsidRPr="005B30C1">
        <w:rPr>
          <w:lang w:val="el-GR"/>
        </w:rPr>
        <w:t>, επειδή η αξιοπιστία του εξαρτάται από την εμπειρική του συμπεριφορά και όχι μόνο από τη θεωρητική του κομψότητα.</w:t>
      </w:r>
    </w:p>
    <w:p w14:paraId="4B39D8BF" w14:textId="77777777" w:rsidR="00FC097F" w:rsidRPr="005B30C1" w:rsidRDefault="00FC097F" w:rsidP="00FC097F">
      <w:pPr>
        <w:pStyle w:val="af"/>
        <w:rPr>
          <w:lang w:val="el-GR"/>
        </w:rPr>
      </w:pPr>
      <w:r w:rsidRPr="005B30C1">
        <w:rPr>
          <w:lang w:val="el-GR"/>
        </w:rPr>
        <w:t xml:space="preserve">Η επιλογή της </w:t>
      </w:r>
      <w:r>
        <w:t>Historical</w:t>
      </w:r>
      <w:r w:rsidRPr="005B30C1">
        <w:rPr>
          <w:lang w:val="el-GR"/>
        </w:rPr>
        <w:t xml:space="preserve"> </w:t>
      </w:r>
      <w:proofErr w:type="spellStart"/>
      <w:r>
        <w:t>VaR</w:t>
      </w:r>
      <w:proofErr w:type="spellEnd"/>
      <w:r w:rsidRPr="005B30C1">
        <w:rPr>
          <w:lang w:val="el-GR"/>
        </w:rPr>
        <w:t xml:space="preserve"> και της </w:t>
      </w:r>
      <w:r>
        <w:t>EWMA</w:t>
      </w:r>
      <w:r w:rsidRPr="005B30C1">
        <w:rPr>
          <w:lang w:val="el-GR"/>
        </w:rPr>
        <w:t xml:space="preserve"> </w:t>
      </w:r>
      <w:proofErr w:type="spellStart"/>
      <w:r>
        <w:t>VaR</w:t>
      </w:r>
      <w:proofErr w:type="spellEnd"/>
      <w:r w:rsidRPr="005B30C1">
        <w:rPr>
          <w:lang w:val="el-GR"/>
        </w:rPr>
        <w:t xml:space="preserve"> προκύπτει από αυτή τη σύνθεση. Η </w:t>
      </w:r>
      <w:r>
        <w:t>Historical</w:t>
      </w:r>
      <w:r w:rsidRPr="005B30C1">
        <w:rPr>
          <w:lang w:val="el-GR"/>
        </w:rPr>
        <w:t xml:space="preserve"> </w:t>
      </w:r>
      <w:proofErr w:type="spellStart"/>
      <w:r>
        <w:t>VaR</w:t>
      </w:r>
      <w:proofErr w:type="spellEnd"/>
      <w:r w:rsidRPr="005B30C1">
        <w:rPr>
          <w:lang w:val="el-GR"/>
        </w:rPr>
        <w:t xml:space="preserve"> επιλέγεται επειδή είναι μη παραμετρική, διαφανής και βασισμένη στις πραγματικές αποδόσεις. Η </w:t>
      </w:r>
      <w:r>
        <w:t>EWMA</w:t>
      </w:r>
      <w:r w:rsidRPr="005B30C1">
        <w:rPr>
          <w:lang w:val="el-GR"/>
        </w:rPr>
        <w:t xml:space="preserve"> επιλέγεται επειδή ενσωματώνει τη χρονικά μεταβαλλόμενη μεταβλητότητα και αντιδρά ταχύτερα στις πρόσφατες συνθήκες αγοράς. Οι δύο μέθοδοι δεν επιλέγονται ως οι μοναδικά σωστές, αλλά ως δύο αντιπροσωπευτικές προσεγγίσεις που επιτρέπουν σύγκριση μεταξύ ιστορικής εμπειρίας και δυναμικής στάθμισης μεταβλητότητας.</w:t>
      </w:r>
    </w:p>
    <w:p w14:paraId="053CEF95" w14:textId="77777777" w:rsidR="00FC097F" w:rsidRPr="005B30C1" w:rsidRDefault="00FC097F" w:rsidP="00FC097F">
      <w:pPr>
        <w:pStyle w:val="af"/>
        <w:rPr>
          <w:lang w:val="el-GR"/>
        </w:rPr>
      </w:pPr>
      <w:r w:rsidRPr="005B30C1">
        <w:rPr>
          <w:lang w:val="el-GR"/>
        </w:rPr>
        <w:t xml:space="preserve">Η εμπειρική εφαρμογή που ακολουθεί υπηρετεί ακριβώς αυτόν τον σκοπό. Δεν αρκεί να παρουσιαστεί η θεωρία της </w:t>
      </w:r>
      <w:proofErr w:type="spellStart"/>
      <w:r>
        <w:t>VaR</w:t>
      </w:r>
      <w:proofErr w:type="spellEnd"/>
      <w:r w:rsidRPr="005B30C1">
        <w:rPr>
          <w:lang w:val="el-GR"/>
        </w:rPr>
        <w:t xml:space="preserve">. Πρέπει να φανεί πώς οι μέθοδοι συμπεριφέρονται σε πραγματικά δεδομένα, αν οι παραβιάσεις τους είναι αποδεκτές και αν η εφαρμογή μιας </w:t>
      </w:r>
      <w:r w:rsidRPr="005B30C1">
        <w:rPr>
          <w:lang w:val="el-GR"/>
        </w:rPr>
        <w:lastRenderedPageBreak/>
        <w:t xml:space="preserve">αντιστάθμισης με </w:t>
      </w:r>
      <w:r>
        <w:t>futures</w:t>
      </w:r>
      <w:r w:rsidRPr="005B30C1">
        <w:rPr>
          <w:lang w:val="el-GR"/>
        </w:rPr>
        <w:t xml:space="preserve"> μεταβάλλει την εικόνα του κινδύνου. Έτσι, το θεωρητικό υπόβαθρο συνδέεται άμεσα με τη μεθοδολογία και τα αποτελέσματα.</w:t>
      </w:r>
    </w:p>
    <w:p w14:paraId="0DBFD297" w14:textId="77777777" w:rsidR="00FC097F" w:rsidRPr="005B30C1" w:rsidRDefault="00FC097F" w:rsidP="00321E2E">
      <w:pPr>
        <w:pStyle w:val="21"/>
        <w:rPr>
          <w:lang w:val="el-GR"/>
        </w:rPr>
      </w:pPr>
      <w:bookmarkStart w:id="33" w:name="_Toc232171077"/>
      <w:bookmarkStart w:id="34" w:name="X0c3eff5967b22a46126e751af9687da32f2d98f"/>
      <w:bookmarkEnd w:id="32"/>
      <w:r w:rsidRPr="005B30C1">
        <w:rPr>
          <w:rFonts w:eastAsia="Times New Roman"/>
          <w:lang w:val="el-GR"/>
        </w:rPr>
        <w:t xml:space="preserve">2.9 Επίπεδο εμπιστοσύνης, χρονικός ορίζοντας και ερμηνεία της </w:t>
      </w:r>
      <w:proofErr w:type="spellStart"/>
      <w:r>
        <w:rPr>
          <w:rFonts w:eastAsia="Times New Roman"/>
        </w:rPr>
        <w:t>VaR</w:t>
      </w:r>
      <w:bookmarkEnd w:id="33"/>
      <w:proofErr w:type="spellEnd"/>
    </w:p>
    <w:p w14:paraId="12FEABD2" w14:textId="77777777" w:rsidR="00FC097F" w:rsidRPr="005B30C1" w:rsidRDefault="00FC097F" w:rsidP="00FC097F">
      <w:pPr>
        <w:ind w:firstLine="357"/>
        <w:rPr>
          <w:lang w:val="el-GR"/>
        </w:rPr>
      </w:pPr>
      <w:r w:rsidRPr="005B30C1">
        <w:rPr>
          <w:lang w:val="el-GR"/>
        </w:rPr>
        <w:t xml:space="preserve">Η επιλογή του επιπέδου εμπιστοσύνης και του χρονικού ορίζοντα δεν είναι ουδέτερη τεχνική λεπτομέρεια. Καθορίζει τον τρόπο με τον οποίο ερμηνεύεται ο κίνδυνος και το πόσο αυστηρό είναι το μέτρο. Σε επίπεδο εμπιστοσύνης 95%, η </w:t>
      </w:r>
      <w:proofErr w:type="spellStart"/>
      <w:r>
        <w:t>VaR</w:t>
      </w:r>
      <w:proofErr w:type="spellEnd"/>
      <w:r w:rsidRPr="005B30C1">
        <w:rPr>
          <w:lang w:val="el-GR"/>
        </w:rPr>
        <w:t xml:space="preserve"> αναφέρεται στο 5% των χειρότερων ημερών. Σε επίπεδο εμπιστοσύνης 99%, εστιάζει στο 1% των χειρότερων ημερών και επομένως είναι πιο αυστηρή. Η παρούσα εργασία χρησιμοποιεί επίπεδο εμπιστοσύνης 99%, επειδή αυτό είναι πιο κατάλληλο για ανάλυση κινδύνου αγοράς σε πλαίσιο αυξημένης προσοχής και συνδέεται με τη λογική των εποπτικών εφαρμογών.</w:t>
      </w:r>
    </w:p>
    <w:p w14:paraId="4F125D46" w14:textId="77777777" w:rsidR="00FC097F" w:rsidRPr="005B30C1" w:rsidRDefault="00FC097F" w:rsidP="00FC097F">
      <w:pPr>
        <w:pStyle w:val="af"/>
        <w:rPr>
          <w:lang w:val="el-GR"/>
        </w:rPr>
      </w:pPr>
      <w:r w:rsidRPr="005B30C1">
        <w:rPr>
          <w:lang w:val="el-GR"/>
        </w:rPr>
        <w:t xml:space="preserve">Ο χρονικός ορίζοντας είναι εξίσου σημαντικός. Το ημερήσιο </w:t>
      </w:r>
      <w:proofErr w:type="spellStart"/>
      <w:r>
        <w:t>VaR</w:t>
      </w:r>
      <w:proofErr w:type="spellEnd"/>
      <w:r w:rsidRPr="005B30C1">
        <w:rPr>
          <w:lang w:val="el-GR"/>
        </w:rPr>
        <w:t xml:space="preserve"> είναι χρήσιμο για την παρακολούθηση </w:t>
      </w:r>
      <w:r>
        <w:t>trading</w:t>
      </w:r>
      <w:r w:rsidRPr="005B30C1">
        <w:rPr>
          <w:lang w:val="el-GR"/>
        </w:rPr>
        <w:t xml:space="preserve"> ή επενδυτικών χαρτοφυλακίων σε καθημερινή βάση, επειδή οι τιμές αγοράς μεταβάλλονται συνεχώς και οι αποφάσεις ελέγχου πρέπει να λαμβάνονται γρήγορα. Το δεκαήμερο </w:t>
      </w:r>
      <w:proofErr w:type="spellStart"/>
      <w:r>
        <w:t>VaR</w:t>
      </w:r>
      <w:proofErr w:type="spellEnd"/>
      <w:r w:rsidRPr="005B30C1">
        <w:rPr>
          <w:lang w:val="el-GR"/>
        </w:rPr>
        <w:t>, από την άλλη πλευρά, συνδέεται περισσότερο με την υπόθεση ότι ένας οργανισμός μπορεί να χρειαστεί περισσότερες ημέρες για να μειώσει ή να ρευστοποιήσει μια θέση σε συνθήκες πίεσης. Η χρήση και των δύο οριζόντων στην εργασία επιτρέπει να φανεί πώς το ίδιο ποσοστιαίο μέτρο μεταβάλλεται όταν η ζημία εξετάζεται σε μεγαλύτερη περίοδο.</w:t>
      </w:r>
    </w:p>
    <w:p w14:paraId="0E9112EF" w14:textId="77777777" w:rsidR="00FC097F" w:rsidRPr="005B30C1" w:rsidRDefault="00FC097F" w:rsidP="00FC097F">
      <w:pPr>
        <w:pStyle w:val="af"/>
        <w:rPr>
          <w:lang w:val="el-GR"/>
        </w:rPr>
      </w:pPr>
      <w:r w:rsidRPr="005B30C1">
        <w:rPr>
          <w:lang w:val="el-GR"/>
        </w:rPr>
        <w:t xml:space="preserve">Πρέπει επίσης να διευκρινιστεί ότι η </w:t>
      </w:r>
      <w:proofErr w:type="spellStart"/>
      <w:r>
        <w:t>VaR</w:t>
      </w:r>
      <w:proofErr w:type="spellEnd"/>
      <w:r w:rsidRPr="005B30C1">
        <w:rPr>
          <w:lang w:val="el-GR"/>
        </w:rPr>
        <w:t xml:space="preserve"> δεν αποτελεί πρόβλεψη της μέγιστης δυνατής ζημίας. Δεν λέει ότι η ζημία δεν μπορεί να υπερβεί το συγκεκριμένο ποσό. Λέει ότι, με βάση το μοντέλο και το επιλεγμένο επίπεδο εμπιστοσύνης, η πιθανότητα υπέρβασης είναι συγκεκριμένη. Αυτό σημαίνει ότι η ύπαρξη εξαιρέσεων δεν είναι από μόνη της αποτυχία του μοντέλου. Σε ένα </w:t>
      </w:r>
      <w:proofErr w:type="spellStart"/>
      <w:r>
        <w:t>VaR</w:t>
      </w:r>
      <w:proofErr w:type="spellEnd"/>
      <w:r w:rsidRPr="005B30C1">
        <w:rPr>
          <w:lang w:val="el-GR"/>
        </w:rPr>
        <w:t xml:space="preserve"> 99%, κάποιες εξαιρέσεις είναι αναμενόμενες. Η αποτυχία προκύπτει όταν οι εξαιρέσεις είναι συστηματικά περισσότερες από όσες αντιστοιχούν στη θεωρητική πιθανότητα. Για αυτόν τον λόγο, ο έλεγχος </w:t>
      </w:r>
      <w:r>
        <w:t>Kupiec</w:t>
      </w:r>
      <w:r w:rsidRPr="005B30C1">
        <w:rPr>
          <w:lang w:val="el-GR"/>
        </w:rPr>
        <w:t xml:space="preserve"> είναι απαραίτητος: διαχωρίζει τις φυσιολογικές παραβιάσεις από τις παραβιάσεις που υποδηλώνουν στατιστική ανεπάρκεια του μοντέλου.</w:t>
      </w:r>
    </w:p>
    <w:p w14:paraId="6E901FC1" w14:textId="77777777" w:rsidR="00FC097F" w:rsidRPr="005B30C1" w:rsidRDefault="00FC097F" w:rsidP="00FC097F">
      <w:pPr>
        <w:pStyle w:val="af"/>
        <w:rPr>
          <w:lang w:val="el-GR"/>
        </w:rPr>
      </w:pPr>
      <w:r w:rsidRPr="005B30C1">
        <w:rPr>
          <w:lang w:val="el-GR"/>
        </w:rPr>
        <w:t xml:space="preserve">Η συγκεκριμένη ερμηνεία είναι κρίσιμη για τους μη ειδικούς αναγνώστες της εργασίας. Η </w:t>
      </w:r>
      <w:proofErr w:type="spellStart"/>
      <w:r>
        <w:t>VaR</w:t>
      </w:r>
      <w:proofErr w:type="spellEnd"/>
      <w:r w:rsidRPr="005B30C1">
        <w:rPr>
          <w:lang w:val="el-GR"/>
        </w:rPr>
        <w:t xml:space="preserve"> δεν πρέπει να παρουσιάζεται ως απόλυτη ασφάλεια, αλλά ως εργαλείο οργάνωσης της συζήτησης για τον κίνδυνο. Δίνει ένα κοινό σημείο αναφοράς ανάμεσα στον αναλυτή, τη διοίκηση και τον διαχειριστή χαρτοφυλακίου. Όταν συνδυάζεται με </w:t>
      </w:r>
      <w:proofErr w:type="spellStart"/>
      <w:r>
        <w:t>backtesting</w:t>
      </w:r>
      <w:proofErr w:type="spellEnd"/>
      <w:r w:rsidRPr="005B30C1">
        <w:rPr>
          <w:lang w:val="el-GR"/>
        </w:rPr>
        <w:t>, βοηθά να απαντηθεί όχι μόνο το ερώτημα «πόσος είναι ο κίνδυνος», αλλά και το ερώτημα «πόσο αξιόπιστα τον μετράμε».</w:t>
      </w:r>
    </w:p>
    <w:p w14:paraId="2A1F3383" w14:textId="77777777" w:rsidR="00FC097F" w:rsidRPr="005B30C1" w:rsidRDefault="00FC097F" w:rsidP="002455D5">
      <w:pPr>
        <w:pStyle w:val="1"/>
        <w:rPr>
          <w:lang w:val="el-GR"/>
        </w:rPr>
      </w:pPr>
      <w:bookmarkStart w:id="35" w:name="_Toc232171078"/>
      <w:bookmarkStart w:id="36" w:name="κεφάλαιο-3-δεδομένα-και-μεθοδολογία"/>
      <w:bookmarkEnd w:id="16"/>
      <w:bookmarkEnd w:id="34"/>
      <w:r w:rsidRPr="005B30C1">
        <w:rPr>
          <w:rFonts w:eastAsia="Times New Roman"/>
          <w:lang w:val="el-GR"/>
        </w:rPr>
        <w:lastRenderedPageBreak/>
        <w:t>Κεφάλαιο 3: Δεδομένα και Μεθοδολογία</w:t>
      </w:r>
      <w:bookmarkEnd w:id="35"/>
    </w:p>
    <w:p w14:paraId="0A0800EF" w14:textId="77777777" w:rsidR="00FC097F" w:rsidRPr="005B30C1" w:rsidRDefault="00FC097F" w:rsidP="00321E2E">
      <w:pPr>
        <w:pStyle w:val="21"/>
        <w:rPr>
          <w:lang w:val="el-GR"/>
        </w:rPr>
      </w:pPr>
      <w:bookmarkStart w:id="37" w:name="_Toc232171079"/>
      <w:bookmarkStart w:id="38" w:name="ερευνητικός-σχεδιασμός"/>
      <w:r w:rsidRPr="005B30C1">
        <w:rPr>
          <w:rFonts w:eastAsia="Times New Roman"/>
          <w:lang w:val="el-GR"/>
        </w:rPr>
        <w:t>3.1 Ερευνητικός σχεδιασμός</w:t>
      </w:r>
      <w:bookmarkEnd w:id="37"/>
    </w:p>
    <w:p w14:paraId="70188A37" w14:textId="77777777" w:rsidR="00FC097F" w:rsidRPr="005B30C1" w:rsidRDefault="00FC097F" w:rsidP="00FC097F">
      <w:pPr>
        <w:ind w:firstLine="357"/>
        <w:rPr>
          <w:lang w:val="el-GR"/>
        </w:rPr>
      </w:pPr>
      <w:r w:rsidRPr="005B30C1">
        <w:rPr>
          <w:lang w:val="el-GR"/>
        </w:rPr>
        <w:t xml:space="preserve">Το παρόν κεφάλαιο παρουσιάζει τη μεθοδολογική βάση της εμπειρικής ανάλυσης. Μετά τη θεωρητική συζήτηση των προηγούμενων κεφαλαίων, η εργασία μεταβαίνει από το γενικό πλαίσιο της διαχείρισης χρηματοοικονομικού κινδύνου στη συγκεκριμένη μέτρηση του κινδύνου αγοράς ενός μετοχικού χαρτοφυλακίου. Η εμπειρική προσέγγιση στηρίζεται στην έννοια της </w:t>
      </w:r>
      <w:r>
        <w:t>Value</w:t>
      </w:r>
      <w:r w:rsidRPr="005B30C1">
        <w:rPr>
          <w:lang w:val="el-GR"/>
        </w:rPr>
        <w:t xml:space="preserve"> </w:t>
      </w:r>
      <w:r>
        <w:t>at</w:t>
      </w:r>
      <w:r w:rsidRPr="005B30C1">
        <w:rPr>
          <w:lang w:val="el-GR"/>
        </w:rPr>
        <w:t xml:space="preserve"> </w:t>
      </w:r>
      <w:r>
        <w:t>Risk</w:t>
      </w:r>
      <w:r w:rsidRPr="005B30C1">
        <w:rPr>
          <w:lang w:val="el-GR"/>
        </w:rPr>
        <w:t>, η οποία χρησιμοποιείται ευρέως στη βιβλιογραφία και στην τραπεζική πρακτική ως συνοπτικό μέτρο της δυνητικής ζημίας ενός χαρτοφυλακίου σε προκαθορισμένο χρονικό ορίζοντα και επίπεδο εμπιστοσύνης.</w:t>
      </w:r>
    </w:p>
    <w:p w14:paraId="787B656D" w14:textId="77777777" w:rsidR="00FC097F" w:rsidRPr="005B30C1" w:rsidRDefault="00FC097F" w:rsidP="00FC097F">
      <w:pPr>
        <w:pStyle w:val="af"/>
        <w:rPr>
          <w:lang w:val="el-GR"/>
        </w:rPr>
      </w:pPr>
      <w:r w:rsidRPr="005B30C1">
        <w:rPr>
          <w:lang w:val="el-GR"/>
        </w:rPr>
        <w:t xml:space="preserve">Η βασική λογική της ανάλυσης είναι να εκτιμηθεί, με διαφανή και </w:t>
      </w:r>
      <w:proofErr w:type="spellStart"/>
      <w:r w:rsidRPr="005B30C1">
        <w:rPr>
          <w:lang w:val="el-GR"/>
        </w:rPr>
        <w:t>αναπαραγώγιμο</w:t>
      </w:r>
      <w:proofErr w:type="spellEnd"/>
      <w:r w:rsidRPr="005B30C1">
        <w:rPr>
          <w:lang w:val="el-GR"/>
        </w:rPr>
        <w:t xml:space="preserve"> τρόπο, το μέγεθος της πιθανής ημερήσιας και δεκαήμερης ζημίας ενός χαρτοφυλακίου που αποτελείται από τρεις μετοχές μεγάλης κεφαλαιοποίησης. Η επιλογή δύο διαφορετικών υποδειγμάτων </w:t>
      </w:r>
      <w:proofErr w:type="spellStart"/>
      <w:r>
        <w:t>VaR</w:t>
      </w:r>
      <w:proofErr w:type="spellEnd"/>
      <w:r w:rsidRPr="005B30C1">
        <w:rPr>
          <w:lang w:val="el-GR"/>
        </w:rPr>
        <w:t xml:space="preserve"> δεν γίνεται για να δοθεί μια μοναδική και απόλυτη απάντηση, αλλά για να συγκριθούν δύο διαφορετικές φιλοσοφίες μέτρησης του κινδύνου. Η </w:t>
      </w:r>
      <w:r>
        <w:t>Historical</w:t>
      </w:r>
      <w:r w:rsidRPr="005B30C1">
        <w:rPr>
          <w:lang w:val="el-GR"/>
        </w:rPr>
        <w:t xml:space="preserve"> </w:t>
      </w:r>
      <w:proofErr w:type="spellStart"/>
      <w:r>
        <w:t>VaR</w:t>
      </w:r>
      <w:proofErr w:type="spellEnd"/>
      <w:r w:rsidRPr="005B30C1">
        <w:rPr>
          <w:lang w:val="el-GR"/>
        </w:rPr>
        <w:t xml:space="preserve"> βασίζεται αποκλειστικά στην ιστορική εμπειρία των αποδόσεων, ενώ η </w:t>
      </w:r>
      <w:r>
        <w:t>EWMA</w:t>
      </w:r>
      <w:r w:rsidRPr="005B30C1">
        <w:rPr>
          <w:lang w:val="el-GR"/>
        </w:rPr>
        <w:t xml:space="preserve"> </w:t>
      </w:r>
      <w:proofErr w:type="spellStart"/>
      <w:r>
        <w:t>VaR</w:t>
      </w:r>
      <w:proofErr w:type="spellEnd"/>
      <w:r w:rsidRPr="005B30C1">
        <w:rPr>
          <w:lang w:val="el-GR"/>
        </w:rPr>
        <w:t xml:space="preserve"> δίνει μεγαλύτερη βαρύτητα στις πιο πρόσφατες παρατηρήσεις και επιτρέπει στη μεταβλητότητα να προσαρμόζεται ταχύτερα όταν οι συνθήκες της αγοράς αλλάζουν.</w:t>
      </w:r>
    </w:p>
    <w:p w14:paraId="30EEF3C5" w14:textId="77777777" w:rsidR="00FC097F" w:rsidRPr="005B30C1" w:rsidRDefault="00FC097F" w:rsidP="00FC097F">
      <w:pPr>
        <w:pStyle w:val="af"/>
        <w:rPr>
          <w:lang w:val="el-GR"/>
        </w:rPr>
      </w:pPr>
      <w:r w:rsidRPr="005B30C1">
        <w:rPr>
          <w:lang w:val="el-GR"/>
        </w:rPr>
        <w:t xml:space="preserve">Σημαντικό είναι ότι η εργασία αντιμετωπίζει την αντιστάθμιση κινδύνου ως εφαρμοσμένη επέκταση και όχι ως τον αρχικό πυρήνα του ερευνητικού ερωτήματος. Ο κεντρικός σκοπός παραμένει η μέτρηση και αξιολόγηση του κινδύνου αγοράς. Η αντιστάθμιση με συμβόλαιο μελλοντικής εκπλήρωσης επί δείκτη εισάγεται στη συνέχεια ως πρακτικό παράδειγμα του πώς η μέτρηση κινδύνου μπορεί να συνδεθεί με μια απόφαση διαχείρισης χαρτοφυλακίου. Με αυτόν τον τρόπο διατηρείται ο λειτουργικός διαχωρισμός μεταξύ του </w:t>
      </w:r>
      <w:r>
        <w:t>risk</w:t>
      </w:r>
      <w:r w:rsidRPr="005B30C1">
        <w:rPr>
          <w:lang w:val="el-GR"/>
        </w:rPr>
        <w:t xml:space="preserve"> </w:t>
      </w:r>
      <w:r>
        <w:t>manager</w:t>
      </w:r>
      <w:r w:rsidRPr="005B30C1">
        <w:rPr>
          <w:lang w:val="el-GR"/>
        </w:rPr>
        <w:t xml:space="preserve">, ο οποίος μετρά και ελέγχει τον κίνδυνο, και του </w:t>
      </w:r>
      <w:r>
        <w:t>portfolio</w:t>
      </w:r>
      <w:r w:rsidRPr="005B30C1">
        <w:rPr>
          <w:lang w:val="el-GR"/>
        </w:rPr>
        <w:t xml:space="preserve"> </w:t>
      </w:r>
      <w:r>
        <w:t>manager</w:t>
      </w:r>
      <w:r w:rsidRPr="005B30C1">
        <w:rPr>
          <w:lang w:val="el-GR"/>
        </w:rPr>
        <w:t>, ο οποίος λαμβάνει συναλλακτικές αποφάσεις.</w:t>
      </w:r>
    </w:p>
    <w:p w14:paraId="5A0A9911" w14:textId="77777777" w:rsidR="00FC097F" w:rsidRPr="005B30C1" w:rsidRDefault="00FC097F" w:rsidP="00321E2E">
      <w:pPr>
        <w:pStyle w:val="21"/>
        <w:rPr>
          <w:lang w:val="el-GR"/>
        </w:rPr>
      </w:pPr>
      <w:bookmarkStart w:id="39" w:name="_Toc232171080"/>
      <w:bookmarkStart w:id="40" w:name="δεδομένα-της-εμπειρικής-ανάλυσης"/>
      <w:bookmarkEnd w:id="38"/>
      <w:r w:rsidRPr="005B30C1">
        <w:rPr>
          <w:rFonts w:eastAsia="Times New Roman"/>
          <w:lang w:val="el-GR"/>
        </w:rPr>
        <w:t>3.2 Δεδομένα της εμπειρικής ανάλυσης</w:t>
      </w:r>
      <w:bookmarkEnd w:id="39"/>
    </w:p>
    <w:p w14:paraId="639F0C79" w14:textId="77777777" w:rsidR="00FC097F" w:rsidRPr="005B30C1" w:rsidRDefault="00FC097F" w:rsidP="00FC097F">
      <w:pPr>
        <w:ind w:firstLine="357"/>
        <w:rPr>
          <w:lang w:val="el-GR"/>
        </w:rPr>
      </w:pPr>
      <w:r w:rsidRPr="005B30C1">
        <w:rPr>
          <w:lang w:val="el-GR"/>
        </w:rPr>
        <w:t xml:space="preserve">Η εμπειρική ανάλυση βασίζεται σε ημερήσιες τιμές κλεισίματος για τρεις μετοχές του αμερικανικού χρηματιστηρίου και για ένα συμβόλαιο μελλοντικής εκπλήρωσης επί του δείκτη </w:t>
      </w:r>
      <w:r>
        <w:t>S</w:t>
      </w:r>
      <w:r w:rsidRPr="005B30C1">
        <w:rPr>
          <w:lang w:val="el-GR"/>
        </w:rPr>
        <w:t>&amp;</w:t>
      </w:r>
      <w:r>
        <w:t>P</w:t>
      </w:r>
      <w:r w:rsidRPr="005B30C1">
        <w:rPr>
          <w:lang w:val="el-GR"/>
        </w:rPr>
        <w:t xml:space="preserve"> 500. Οι μετοχές που χρησιμοποιούνται είναι η </w:t>
      </w:r>
      <w:r>
        <w:t>Coca</w:t>
      </w:r>
      <w:r w:rsidRPr="005B30C1">
        <w:rPr>
          <w:lang w:val="el-GR"/>
        </w:rPr>
        <w:t>-</w:t>
      </w:r>
      <w:r>
        <w:t>Cola</w:t>
      </w:r>
      <w:r w:rsidRPr="005B30C1">
        <w:rPr>
          <w:lang w:val="el-GR"/>
        </w:rPr>
        <w:t xml:space="preserve"> </w:t>
      </w:r>
      <w:r>
        <w:t>Company</w:t>
      </w:r>
      <w:r w:rsidRPr="005B30C1">
        <w:rPr>
          <w:lang w:val="el-GR"/>
        </w:rPr>
        <w:t xml:space="preserve"> (</w:t>
      </w:r>
      <w:r>
        <w:t>KO</w:t>
      </w:r>
      <w:r w:rsidRPr="005B30C1">
        <w:rPr>
          <w:lang w:val="el-GR"/>
        </w:rPr>
        <w:t xml:space="preserve">), η </w:t>
      </w:r>
      <w:r>
        <w:t>Microsoft</w:t>
      </w:r>
      <w:r w:rsidRPr="005B30C1">
        <w:rPr>
          <w:lang w:val="el-GR"/>
        </w:rPr>
        <w:t xml:space="preserve"> </w:t>
      </w:r>
      <w:r>
        <w:lastRenderedPageBreak/>
        <w:t>Corporation</w:t>
      </w:r>
      <w:r w:rsidRPr="005B30C1">
        <w:rPr>
          <w:lang w:val="el-GR"/>
        </w:rPr>
        <w:t xml:space="preserve"> (</w:t>
      </w:r>
      <w:r>
        <w:t>MSFT</w:t>
      </w:r>
      <w:r w:rsidRPr="005B30C1">
        <w:rPr>
          <w:lang w:val="el-GR"/>
        </w:rPr>
        <w:t xml:space="preserve">) και η </w:t>
      </w:r>
      <w:r>
        <w:t>JPMorgan</w:t>
      </w:r>
      <w:r w:rsidRPr="005B30C1">
        <w:rPr>
          <w:lang w:val="el-GR"/>
        </w:rPr>
        <w:t xml:space="preserve"> </w:t>
      </w:r>
      <w:r>
        <w:t>Chase</w:t>
      </w:r>
      <w:r w:rsidRPr="005B30C1">
        <w:rPr>
          <w:lang w:val="el-GR"/>
        </w:rPr>
        <w:t xml:space="preserve"> &amp; </w:t>
      </w:r>
      <w:r>
        <w:t>Co</w:t>
      </w:r>
      <w:r w:rsidRPr="005B30C1">
        <w:rPr>
          <w:lang w:val="el-GR"/>
        </w:rPr>
        <w:t>.</w:t>
      </w:r>
      <w:r>
        <w:t> </w:t>
      </w:r>
      <w:r w:rsidRPr="005B30C1">
        <w:rPr>
          <w:lang w:val="el-GR"/>
        </w:rPr>
        <w:t>(</w:t>
      </w:r>
      <w:r>
        <w:t>JPM</w:t>
      </w:r>
      <w:r w:rsidRPr="005B30C1">
        <w:rPr>
          <w:lang w:val="el-GR"/>
        </w:rPr>
        <w:t xml:space="preserve">). Η επιλογή τους επιτρέπει τη δημιουργία ενός απλού αλλά διαφοροποιημένου χαρτοφυλακίου, καθώς οι εταιρείες προέρχονται από διαφορετικούς κλάδους: καταναλωτικά αγαθά, τεχνολογία και χρηματοοικονομικές υπηρεσίες. Για την εφαρμογή αντιστάθμισης χρησιμοποιείται το </w:t>
      </w:r>
      <w:r>
        <w:t>E</w:t>
      </w:r>
      <w:r w:rsidRPr="005B30C1">
        <w:rPr>
          <w:lang w:val="el-GR"/>
        </w:rPr>
        <w:t>-</w:t>
      </w:r>
      <w:r>
        <w:t>mini</w:t>
      </w:r>
      <w:r w:rsidRPr="005B30C1">
        <w:rPr>
          <w:lang w:val="el-GR"/>
        </w:rPr>
        <w:t xml:space="preserve"> </w:t>
      </w:r>
      <w:r>
        <w:t>S</w:t>
      </w:r>
      <w:r w:rsidRPr="005B30C1">
        <w:rPr>
          <w:lang w:val="el-GR"/>
        </w:rPr>
        <w:t>&amp;</w:t>
      </w:r>
      <w:r>
        <w:t>P</w:t>
      </w:r>
      <w:r w:rsidRPr="005B30C1">
        <w:rPr>
          <w:lang w:val="el-GR"/>
        </w:rPr>
        <w:t xml:space="preserve"> 500 </w:t>
      </w:r>
      <w:r>
        <w:t>futures</w:t>
      </w:r>
      <w:r w:rsidRPr="005B30C1">
        <w:rPr>
          <w:lang w:val="el-GR"/>
        </w:rPr>
        <w:t xml:space="preserve"> (</w:t>
      </w:r>
      <w:r>
        <w:t>ES</w:t>
      </w:r>
      <w:r w:rsidRPr="005B30C1">
        <w:rPr>
          <w:lang w:val="el-GR"/>
        </w:rPr>
        <w:t>), το οποίο λειτουργεί ως ευρύς αντιπρόσωπος της συνολικής αγοράς μετοχών των ΗΠΑ.</w:t>
      </w:r>
    </w:p>
    <w:p w14:paraId="67AE5BFD" w14:textId="77777777" w:rsidR="00FC097F" w:rsidRPr="005B30C1" w:rsidRDefault="00FC097F" w:rsidP="00FC097F">
      <w:pPr>
        <w:pStyle w:val="af"/>
        <w:rPr>
          <w:lang w:val="el-GR"/>
        </w:rPr>
      </w:pPr>
      <w:r w:rsidRPr="005B30C1">
        <w:rPr>
          <w:lang w:val="el-GR"/>
        </w:rPr>
        <w:t xml:space="preserve">Το δείγμα καλύπτει την περίοδο από 02/01/2020 έως 31/12/2025 και περιλαμβάνει 1508 </w:t>
      </w:r>
      <w:proofErr w:type="spellStart"/>
      <w:r w:rsidRPr="005B30C1">
        <w:rPr>
          <w:lang w:val="el-GR"/>
        </w:rPr>
        <w:t>ημερολογημένες</w:t>
      </w:r>
      <w:proofErr w:type="spellEnd"/>
      <w:r w:rsidRPr="005B30C1">
        <w:rPr>
          <w:lang w:val="el-GR"/>
        </w:rPr>
        <w:t xml:space="preserve"> γραμμές δεδομένων. Η περίοδος αυτή είναι ιδιαίτερα κατάλληλη για εργασία διαχείρισης κινδύνου, διότι περιλαμβάνει διαφορετικά καθεστώτα αγοράς: την έντονη πτώση και αβεβαιότητα της πανδημίας </w:t>
      </w:r>
      <w:r>
        <w:t>COVID</w:t>
      </w:r>
      <w:r w:rsidRPr="005B30C1">
        <w:rPr>
          <w:lang w:val="el-GR"/>
        </w:rPr>
        <w:t xml:space="preserve">-19, τη γρήγορη ανάκαμψη που ακολούθησε, την άνοδο του πληθωρισμού, την αλλαγή της νομισματικής πολιτικής και περιόδους αυξημένης μεταβλητότητας. Επομένως, το δείγμα δεν περιορίζεται σε μια ομαλή περίοδο αγοράς, αλλά περιλαμβάνει γεγονότα που δοκιμάζουν ουσιαστικά την αποτελεσματικότητα των υποδειγμάτων </w:t>
      </w:r>
      <w:proofErr w:type="spellStart"/>
      <w:r>
        <w:t>VaR</w:t>
      </w:r>
      <w:proofErr w:type="spellEnd"/>
      <w:r w:rsidRPr="005B30C1">
        <w:rPr>
          <w:lang w:val="el-GR"/>
        </w:rPr>
        <w:t>.</w:t>
      </w:r>
    </w:p>
    <w:p w14:paraId="270BF78A" w14:textId="77777777" w:rsidR="00FC097F" w:rsidRPr="005B30C1" w:rsidRDefault="00FC097F" w:rsidP="00FC097F">
      <w:pPr>
        <w:pStyle w:val="af"/>
        <w:rPr>
          <w:lang w:val="el-GR"/>
        </w:rPr>
      </w:pPr>
      <w:r w:rsidRPr="005B30C1">
        <w:rPr>
          <w:lang w:val="el-GR"/>
        </w:rPr>
        <w:t xml:space="preserve">Οι τιμές μετατράπηκαν σε ημερήσιες λογαριθμικές αποδόσεις. Για κάθε τίτλο </w:t>
      </w:r>
      <m:oMath>
        <m:r>
          <w:rPr>
            <w:rFonts w:ascii="Cambria Math" w:hAnsi="Cambria Math"/>
          </w:rPr>
          <m:t>i</m:t>
        </m:r>
      </m:oMath>
      <w:r w:rsidRPr="005B30C1">
        <w:rPr>
          <w:lang w:val="el-GR"/>
        </w:rPr>
        <w:t xml:space="preserve"> και ημέρα </w:t>
      </w:r>
      <m:oMath>
        <m:r>
          <w:rPr>
            <w:rFonts w:ascii="Cambria Math" w:hAnsi="Cambria Math"/>
          </w:rPr>
          <m:t>t</m:t>
        </m:r>
      </m:oMath>
      <w:r w:rsidRPr="005B30C1">
        <w:rPr>
          <w:lang w:val="el-GR"/>
        </w:rPr>
        <w:t>, η λογαριθμική απόδοση ορίζεται ως:</w:t>
      </w:r>
    </w:p>
    <w:p w14:paraId="112441ED" w14:textId="4486DEAE" w:rsidR="00FC097F" w:rsidRPr="00FC097F" w:rsidRDefault="00B06BF3" w:rsidP="00FC097F">
      <w:pPr>
        <w:pStyle w:val="af"/>
        <w:tabs>
          <w:tab w:val="right" w:leader="dot" w:pos="8504"/>
          <w:tab w:val="right" w:pos="9072"/>
        </w:tabs>
        <w:jc w:val="center"/>
        <w:rPr>
          <w:lang w:val="el-GR"/>
        </w:rPr>
      </w:pPr>
      <m:oMath>
        <m:sSub>
          <m:sSubPr>
            <m:ctrlPr>
              <w:rPr>
                <w:rFonts w:ascii="Cambria Math" w:hAnsi="Cambria Math"/>
              </w:rPr>
            </m:ctrlPr>
          </m:sSubPr>
          <m:e>
            <m:r>
              <w:rPr>
                <w:rFonts w:ascii="Cambria Math" w:hAnsi="Cambria Math"/>
              </w:rPr>
              <m:t>r</m:t>
            </m:r>
          </m:e>
          <m:sub>
            <m:r>
              <w:rPr>
                <w:rFonts w:ascii="Cambria Math" w:hAnsi="Cambria Math"/>
              </w:rPr>
              <m:t>i</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m:t>
        </m:r>
        <m:r>
          <m:rPr>
            <m:sty m:val="p"/>
          </m:rPr>
          <w:rPr>
            <w:rFonts w:ascii="Cambria Math" w:hAnsi="Cambria Math"/>
          </w:rPr>
          <m:t>ln</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lang w:val="el-GR"/>
                      </w:rPr>
                      <m:t>,</m:t>
                    </m:r>
                    <m:r>
                      <w:rPr>
                        <w:rFonts w:ascii="Cambria Math" w:hAnsi="Cambria Math"/>
                      </w:rPr>
                      <m:t>t</m:t>
                    </m:r>
                  </m:sub>
                </m:sSub>
              </m:num>
              <m:den>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lang w:val="el-GR"/>
                      </w:rPr>
                      <m:t>,</m:t>
                    </m:r>
                    <m:r>
                      <w:rPr>
                        <w:rFonts w:ascii="Cambria Math" w:hAnsi="Cambria Math"/>
                      </w:rPr>
                      <m:t>t</m:t>
                    </m:r>
                    <m:r>
                      <m:rPr>
                        <m:sty m:val="p"/>
                      </m:rPr>
                      <w:rPr>
                        <w:rFonts w:ascii="Cambria Math" w:hAnsi="Cambria Math"/>
                        <w:lang w:val="el-GR"/>
                      </w:rPr>
                      <m:t>-</m:t>
                    </m:r>
                    <m:r>
                      <w:rPr>
                        <w:rFonts w:ascii="Cambria Math" w:hAnsi="Cambria Math"/>
                        <w:lang w:val="el-GR"/>
                      </w:rPr>
                      <m:t>1</m:t>
                    </m:r>
                  </m:sub>
                </m:sSub>
              </m:den>
            </m:f>
          </m:e>
        </m:d>
        <m:r>
          <w:rPr>
            <w:rFonts w:ascii="Cambria Math" w:hAnsi="Cambria Math"/>
            <w:lang w:val="el-GR"/>
          </w:rPr>
          <m:t xml:space="preserve"> </m:t>
        </m:r>
      </m:oMath>
      <w:r w:rsidR="00FC097F" w:rsidRPr="00FC097F">
        <w:rPr>
          <w:lang w:val="el-GR"/>
        </w:rPr>
        <w:t>(3.1)</w:t>
      </w:r>
    </w:p>
    <w:p w14:paraId="3701DDF1" w14:textId="77777777" w:rsidR="00FC097F" w:rsidRPr="005B30C1" w:rsidRDefault="00FC097F" w:rsidP="00FC097F">
      <w:pPr>
        <w:ind w:firstLine="357"/>
        <w:rPr>
          <w:lang w:val="el-GR"/>
        </w:rPr>
      </w:pPr>
      <w:r w:rsidRPr="005B30C1">
        <w:rPr>
          <w:lang w:val="el-GR"/>
        </w:rPr>
        <w:t xml:space="preserve">όπου </w:t>
      </w:r>
      <w:r>
        <w:t>Pᵢ</w:t>
      </w:r>
      <w:r w:rsidRPr="005B30C1">
        <w:rPr>
          <w:lang w:val="el-GR"/>
        </w:rPr>
        <w:t xml:space="preserve">,ₜ είναι η τιμή κλεισίματος του τίτλου </w:t>
      </w:r>
      <w:proofErr w:type="spellStart"/>
      <w:r>
        <w:t>i</w:t>
      </w:r>
      <w:proofErr w:type="spellEnd"/>
      <w:r w:rsidRPr="005B30C1">
        <w:rPr>
          <w:lang w:val="el-GR"/>
        </w:rPr>
        <w:t xml:space="preserve"> την ημέρα </w:t>
      </w:r>
      <w:r>
        <w:t>t</w:t>
      </w:r>
      <w:r w:rsidRPr="005B30C1">
        <w:rPr>
          <w:lang w:val="el-GR"/>
        </w:rPr>
        <w:t xml:space="preserve">. Η πρώτη γραμμή τιμών δεν παράγει απόδοση, διότι δεν υπάρχει προηγούμενη τιμή σύγκρισης. Επομένως, από τις 1.508 </w:t>
      </w:r>
      <w:proofErr w:type="spellStart"/>
      <w:r w:rsidRPr="005B30C1">
        <w:rPr>
          <w:lang w:val="el-GR"/>
        </w:rPr>
        <w:t>ημερολογημένες</w:t>
      </w:r>
      <w:proofErr w:type="spellEnd"/>
      <w:r w:rsidRPr="005B30C1">
        <w:rPr>
          <w:lang w:val="el-GR"/>
        </w:rPr>
        <w:t xml:space="preserve"> γραμμές τιμών προκύπτουν 1.507 ημερήσιες λογαριθμικές αποδόσεις για κάθε μετοχή, για το συνολικό χαρτοφυλάκιο και για το </w:t>
      </w:r>
      <w:r>
        <w:t>futures</w:t>
      </w:r>
      <w:r w:rsidRPr="005B30C1">
        <w:rPr>
          <w:lang w:val="el-GR"/>
        </w:rPr>
        <w:t xml:space="preserve">. Για τις ανάγκες της </w:t>
      </w:r>
      <w:r>
        <w:t>Historical</w:t>
      </w:r>
      <w:r w:rsidRPr="005B30C1">
        <w:rPr>
          <w:lang w:val="el-GR"/>
        </w:rPr>
        <w:t xml:space="preserve"> </w:t>
      </w:r>
      <w:proofErr w:type="spellStart"/>
      <w:r>
        <w:t>VaR</w:t>
      </w:r>
      <w:proofErr w:type="spellEnd"/>
      <w:r w:rsidRPr="005B30C1">
        <w:rPr>
          <w:lang w:val="el-GR"/>
        </w:rPr>
        <w:t xml:space="preserve"> εφαρμόζεται κυλιόμενο παράθυρο 250 προηγούμενων ημερήσιων αποδόσεων, το οποίο αντιστοιχεί περίπου σε ένα χρηματιστηριακό έτος. Κατά συνέπεια, το δείγμα αξιολόγησης και </w:t>
      </w:r>
      <w:proofErr w:type="spellStart"/>
      <w:r>
        <w:t>backtesting</w:t>
      </w:r>
      <w:proofErr w:type="spellEnd"/>
      <w:r w:rsidRPr="005B30C1">
        <w:rPr>
          <w:lang w:val="el-GR"/>
        </w:rPr>
        <w:t xml:space="preserve"> ξεκινά μετά τη συμπλήρωση του αρχικού παραθύρου, δηλαδή από 29/12/2020, και περιλαμβάνει 1.258 ημερήσιες προβλέψεις </w:t>
      </w:r>
      <w:proofErr w:type="spellStart"/>
      <w:r>
        <w:t>VaR</w:t>
      </w:r>
      <w:proofErr w:type="spellEnd"/>
      <w:r w:rsidRPr="005B30C1">
        <w:rPr>
          <w:lang w:val="el-GR"/>
        </w:rPr>
        <w:t>.</w:t>
      </w:r>
    </w:p>
    <w:p w14:paraId="5DAC2CE8" w14:textId="77777777" w:rsidR="00FC097F" w:rsidRPr="005B30C1" w:rsidRDefault="00FC097F" w:rsidP="00FC097F">
      <w:pPr>
        <w:pStyle w:val="af"/>
        <w:rPr>
          <w:lang w:val="el-GR"/>
        </w:rPr>
      </w:pPr>
      <w:r w:rsidRPr="005B30C1">
        <w:rPr>
          <w:lang w:val="el-GR"/>
        </w:rPr>
        <w:t xml:space="preserve">Το συγκεκριμένο δείγμα δεν είναι ουδέτερο από πλευράς κινδύνου. Περιλαμβάνει τη μεγάλη διαταραχή του 2020, όταν οι αγορές αντέδρασαν βίαια στην πανδημία </w:t>
      </w:r>
      <w:r>
        <w:t>COVID</w:t>
      </w:r>
      <w:r w:rsidRPr="005B30C1">
        <w:rPr>
          <w:lang w:val="el-GR"/>
        </w:rPr>
        <w:t xml:space="preserve">-19, αλλά και τις επόμενες φάσεις ανάκαμψης, ανόδου του πληθωρισμού και νομισματικής σύσφιξης. Η ύπαρξη διαφορετικών καθεστώτων αγοράς είναι χρήσιμη επειδή επιτρέπει στα μοντέλα </w:t>
      </w:r>
      <w:proofErr w:type="spellStart"/>
      <w:r>
        <w:t>VaR</w:t>
      </w:r>
      <w:proofErr w:type="spellEnd"/>
      <w:r w:rsidRPr="005B30C1">
        <w:rPr>
          <w:lang w:val="el-GR"/>
        </w:rPr>
        <w:t xml:space="preserve"> να δοκιμαστούν σε περιβάλλοντα με διαφορετική μεταβλητότητα. Αν το δείγμα περιείχε μόνο ήρεμες αγορές, τα αποτελέσματα θα ήταν λιγότερο αξιόπιστα για συμπεράσματα </w:t>
      </w:r>
      <w:r>
        <w:t>risk</w:t>
      </w:r>
      <w:r w:rsidRPr="005B30C1">
        <w:rPr>
          <w:lang w:val="el-GR"/>
        </w:rPr>
        <w:t xml:space="preserve"> </w:t>
      </w:r>
      <w:r>
        <w:lastRenderedPageBreak/>
        <w:t>management</w:t>
      </w:r>
      <w:r w:rsidRPr="005B30C1">
        <w:rPr>
          <w:lang w:val="el-GR"/>
        </w:rPr>
        <w:t xml:space="preserve">. Αντίθετα, η χρήση περιόδου έξι ετών παρέχει ένα σχετικά πλούσιο πλαίσιο, με 1.508 γραμμές τιμών, 1.507 ημερήσιες αποδόσεις και 1.258 ημερήσιες προβλέψεις </w:t>
      </w:r>
      <w:proofErr w:type="spellStart"/>
      <w:r>
        <w:t>backtesting</w:t>
      </w:r>
      <w:proofErr w:type="spellEnd"/>
      <w:r w:rsidRPr="005B30C1">
        <w:rPr>
          <w:lang w:val="el-GR"/>
        </w:rPr>
        <w:t xml:space="preserve"> μετά την εφαρμογή του κυλιόμενου παραθύρου.</w:t>
      </w:r>
    </w:p>
    <w:p w14:paraId="3143AFA0" w14:textId="77777777" w:rsidR="00FC097F" w:rsidRPr="005B30C1" w:rsidRDefault="00FC097F" w:rsidP="00FC097F">
      <w:pPr>
        <w:pStyle w:val="af"/>
        <w:rPr>
          <w:lang w:val="el-GR"/>
        </w:rPr>
      </w:pPr>
      <w:r w:rsidRPr="005B30C1">
        <w:rPr>
          <w:lang w:val="el-GR"/>
        </w:rPr>
        <w:t xml:space="preserve">Η επιλογή ημερήσιων δεδομένων είναι επίσης συνεπής με την πρακτική μέτρησης του κινδύνου αγοράς. Οι ημερήσιες αποδόσεις επιτρέπουν την παρακολούθηση της βραχυχρόνιας μεταβλητότητας και την άμεση σύγκριση των πραγματικών ζημιών με τις ημερήσιες εκτιμήσεις </w:t>
      </w:r>
      <w:proofErr w:type="spellStart"/>
      <w:r>
        <w:t>VaR</w:t>
      </w:r>
      <w:proofErr w:type="spellEnd"/>
      <w:r w:rsidRPr="005B30C1">
        <w:rPr>
          <w:lang w:val="el-GR"/>
        </w:rPr>
        <w:t>. Για τον δεκαήμερο ορίζοντα χρησιμοποιείται η προσέγγιση της τετραγωνικής ρίζας του χρόνου. Η προσέγγιση αυτή είναι απλουστευτική, διότι προϋποθέτει ότι οι ημερήσιες αποδόσεις είναι ανεξάρτητες και ότι η μεταβλητότητα κλιμακώνεται με τον χρόνο με συγκεκριμένο τρόπο. Παρόλα αυτά χρησιμοποιείται ευρέως και επιτρέπει τη σύνδεση της ημερήσιας μέτρησης με έναν πιο εποπτικό χρονικό ορίζοντα.</w:t>
      </w:r>
    </w:p>
    <w:p w14:paraId="0CB563D2" w14:textId="77777777" w:rsidR="00FC097F" w:rsidRPr="005B30C1" w:rsidRDefault="00FC097F" w:rsidP="00321E2E">
      <w:pPr>
        <w:pStyle w:val="21"/>
        <w:rPr>
          <w:lang w:val="el-GR"/>
        </w:rPr>
      </w:pPr>
      <w:bookmarkStart w:id="41" w:name="_Toc232171081"/>
      <w:bookmarkStart w:id="42" w:name="κατασκευή-του-χαρτοφυλακίου"/>
      <w:bookmarkEnd w:id="40"/>
      <w:r w:rsidRPr="005B30C1">
        <w:rPr>
          <w:rFonts w:eastAsia="Times New Roman"/>
          <w:lang w:val="el-GR"/>
        </w:rPr>
        <w:t>3.3 Κατασκευή του χαρτοφυλακίου</w:t>
      </w:r>
      <w:bookmarkEnd w:id="41"/>
    </w:p>
    <w:p w14:paraId="25C328D6" w14:textId="77777777" w:rsidR="00FC097F" w:rsidRPr="005B30C1" w:rsidRDefault="00FC097F" w:rsidP="00FC097F">
      <w:pPr>
        <w:ind w:firstLine="357"/>
        <w:rPr>
          <w:lang w:val="el-GR"/>
        </w:rPr>
      </w:pPr>
      <w:r w:rsidRPr="005B30C1">
        <w:rPr>
          <w:lang w:val="el-GR"/>
        </w:rPr>
        <w:t xml:space="preserve">Το χαρτοφυλάκιο της εργασίας κατασκευάζεται με ίση στάθμιση στις τρεις μετοχές. Κάθε μετοχή συμμετέχει με βάρος 33,33%. Η ίση στάθμιση επιλέγεται για λόγους διαφάνειας και </w:t>
      </w:r>
      <w:proofErr w:type="spellStart"/>
      <w:r w:rsidRPr="005B30C1">
        <w:rPr>
          <w:lang w:val="el-GR"/>
        </w:rPr>
        <w:t>ερμηνευσιμότητας</w:t>
      </w:r>
      <w:proofErr w:type="spellEnd"/>
      <w:r w:rsidRPr="005B30C1">
        <w:rPr>
          <w:lang w:val="el-GR"/>
        </w:rPr>
        <w:t xml:space="preserve">. Δεν επιχειρείται βελτιστοποίηση τύπου </w:t>
      </w:r>
      <w:r>
        <w:t>Markowitz</w:t>
      </w:r>
      <w:r w:rsidRPr="005B30C1">
        <w:rPr>
          <w:lang w:val="el-GR"/>
        </w:rPr>
        <w:t>, διότι σκοπός της εργασίας δεν είναι να βρεθεί το άριστο χαρτοφυλάκιο, αλλά να εξεταστεί πώς μπορεί να μετρηθεί και να ελεγχθεί ο κίνδυνος αγοράς ενός προκαθορισμένου χαρτοφυλακίου. Η ημερήσια απόδοση του χαρτοφυλακίου δίνεται από τον μέσο όρο των τριών αποδόσεων:</w:t>
      </w:r>
    </w:p>
    <w:p w14:paraId="4B026066" w14:textId="5E03A955" w:rsidR="00FC097F" w:rsidRPr="00FC097F" w:rsidRDefault="00B06BF3" w:rsidP="00FC097F">
      <w:pPr>
        <w:pStyle w:val="af"/>
        <w:tabs>
          <w:tab w:val="right" w:leader="dot" w:pos="8504"/>
          <w:tab w:val="right" w:pos="9072"/>
        </w:tabs>
        <w:jc w:val="center"/>
        <w:rPr>
          <w:lang w:val="el-GR"/>
        </w:rPr>
      </w:pPr>
      <m:oMath>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m:t>
        </m:r>
        <m:f>
          <m:fPr>
            <m:ctrlPr>
              <w:rPr>
                <w:rFonts w:ascii="Cambria Math" w:hAnsi="Cambria Math"/>
              </w:rPr>
            </m:ctrlPr>
          </m:fPr>
          <m:num>
            <m:r>
              <w:rPr>
                <w:rFonts w:ascii="Cambria Math" w:hAnsi="Cambria Math"/>
                <w:lang w:val="el-GR"/>
              </w:rPr>
              <m:t>1</m:t>
            </m:r>
          </m:num>
          <m:den>
            <m:r>
              <w:rPr>
                <w:rFonts w:ascii="Cambria Math" w:hAnsi="Cambria Math"/>
                <w:lang w:val="el-GR"/>
              </w:rPr>
              <m:t>3</m:t>
            </m:r>
          </m:den>
        </m:f>
        <m:sSub>
          <m:sSubPr>
            <m:ctrlPr>
              <w:rPr>
                <w:rFonts w:ascii="Cambria Math" w:hAnsi="Cambria Math"/>
              </w:rPr>
            </m:ctrlPr>
          </m:sSubPr>
          <m:e>
            <m:r>
              <w:rPr>
                <w:rFonts w:ascii="Cambria Math" w:hAnsi="Cambria Math"/>
              </w:rPr>
              <m:t>r</m:t>
            </m:r>
          </m:e>
          <m:sub>
            <m:r>
              <w:rPr>
                <w:rFonts w:ascii="Cambria Math" w:hAnsi="Cambria Math"/>
              </w:rPr>
              <m:t>KO</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m:t>
        </m:r>
        <m:f>
          <m:fPr>
            <m:ctrlPr>
              <w:rPr>
                <w:rFonts w:ascii="Cambria Math" w:hAnsi="Cambria Math"/>
              </w:rPr>
            </m:ctrlPr>
          </m:fPr>
          <m:num>
            <m:r>
              <w:rPr>
                <w:rFonts w:ascii="Cambria Math" w:hAnsi="Cambria Math"/>
                <w:lang w:val="el-GR"/>
              </w:rPr>
              <m:t>1</m:t>
            </m:r>
          </m:num>
          <m:den>
            <m:r>
              <w:rPr>
                <w:rFonts w:ascii="Cambria Math" w:hAnsi="Cambria Math"/>
                <w:lang w:val="el-GR"/>
              </w:rPr>
              <m:t>3</m:t>
            </m:r>
          </m:den>
        </m:f>
        <m:sSub>
          <m:sSubPr>
            <m:ctrlPr>
              <w:rPr>
                <w:rFonts w:ascii="Cambria Math" w:hAnsi="Cambria Math"/>
              </w:rPr>
            </m:ctrlPr>
          </m:sSubPr>
          <m:e>
            <m:r>
              <w:rPr>
                <w:rFonts w:ascii="Cambria Math" w:hAnsi="Cambria Math"/>
              </w:rPr>
              <m:t>r</m:t>
            </m:r>
          </m:e>
          <m:sub>
            <m:r>
              <w:rPr>
                <w:rFonts w:ascii="Cambria Math" w:hAnsi="Cambria Math"/>
              </w:rPr>
              <m:t>MSFT</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m:t>
        </m:r>
        <m:f>
          <m:fPr>
            <m:ctrlPr>
              <w:rPr>
                <w:rFonts w:ascii="Cambria Math" w:hAnsi="Cambria Math"/>
              </w:rPr>
            </m:ctrlPr>
          </m:fPr>
          <m:num>
            <m:r>
              <w:rPr>
                <w:rFonts w:ascii="Cambria Math" w:hAnsi="Cambria Math"/>
                <w:lang w:val="el-GR"/>
              </w:rPr>
              <m:t>1</m:t>
            </m:r>
          </m:num>
          <m:den>
            <m:r>
              <w:rPr>
                <w:rFonts w:ascii="Cambria Math" w:hAnsi="Cambria Math"/>
                <w:lang w:val="el-GR"/>
              </w:rPr>
              <m:t>3</m:t>
            </m:r>
          </m:den>
        </m:f>
        <m:sSub>
          <m:sSubPr>
            <m:ctrlPr>
              <w:rPr>
                <w:rFonts w:ascii="Cambria Math" w:hAnsi="Cambria Math"/>
              </w:rPr>
            </m:ctrlPr>
          </m:sSubPr>
          <m:e>
            <m:r>
              <w:rPr>
                <w:rFonts w:ascii="Cambria Math" w:hAnsi="Cambria Math"/>
              </w:rPr>
              <m:t>r</m:t>
            </m:r>
          </m:e>
          <m:sub>
            <m:r>
              <w:rPr>
                <w:rFonts w:ascii="Cambria Math" w:hAnsi="Cambria Math"/>
              </w:rPr>
              <m:t>JPM</m:t>
            </m:r>
            <m:r>
              <m:rPr>
                <m:sty m:val="p"/>
              </m:rPr>
              <w:rPr>
                <w:rFonts w:ascii="Cambria Math" w:hAnsi="Cambria Math"/>
                <w:lang w:val="el-GR"/>
              </w:rPr>
              <m:t>,</m:t>
            </m:r>
            <m:r>
              <w:rPr>
                <w:rFonts w:ascii="Cambria Math" w:hAnsi="Cambria Math"/>
              </w:rPr>
              <m:t>t</m:t>
            </m:r>
          </m:sub>
        </m:sSub>
        <m:r>
          <w:rPr>
            <w:rFonts w:ascii="Cambria Math" w:hAnsi="Cambria Math"/>
            <w:lang w:val="el-GR"/>
          </w:rPr>
          <m:t xml:space="preserve"> </m:t>
        </m:r>
      </m:oMath>
      <w:r w:rsidR="00FC097F" w:rsidRPr="00FC097F">
        <w:rPr>
          <w:lang w:val="el-GR"/>
        </w:rPr>
        <w:t>(3.2)</w:t>
      </w:r>
    </w:p>
    <w:p w14:paraId="35390DE9" w14:textId="77777777" w:rsidR="00FC097F" w:rsidRPr="005B30C1" w:rsidRDefault="00FC097F" w:rsidP="00FC097F">
      <w:pPr>
        <w:ind w:firstLine="357"/>
        <w:rPr>
          <w:lang w:val="el-GR"/>
        </w:rPr>
      </w:pPr>
      <w:r w:rsidRPr="005B30C1">
        <w:rPr>
          <w:lang w:val="el-GR"/>
        </w:rPr>
        <w:t xml:space="preserve">Για τη μετατροπή του ποσοστιαίου </w:t>
      </w:r>
      <w:proofErr w:type="spellStart"/>
      <w:r>
        <w:t>VaR</w:t>
      </w:r>
      <w:proofErr w:type="spellEnd"/>
      <w:r w:rsidRPr="005B30C1">
        <w:rPr>
          <w:lang w:val="el-GR"/>
        </w:rPr>
        <w:t xml:space="preserve"> σε χρηματικό ποσό χρησιμοποιείται ενδεικτική αξία χαρτοφυλακίου 1.000.000 ευρώ. Η αξία αυτή δεν αλλάζει τη στατιστική φύση του υπολογισμού, αλλά επιτρέπει την παρουσίαση των αποτελεσμάτων σε μονάδες που είναι πιο εύκολα κατανοητές από διοικητική και πρακτική σκοπιά. Έτσι, ένα ημερήσιο </w:t>
      </w:r>
      <w:proofErr w:type="spellStart"/>
      <w:r>
        <w:t>VaR</w:t>
      </w:r>
      <w:proofErr w:type="spellEnd"/>
      <w:r w:rsidRPr="005B30C1">
        <w:rPr>
          <w:lang w:val="el-GR"/>
        </w:rPr>
        <w:t xml:space="preserve"> 2% αντιστοιχεί σε δυνητική ζημία 20.000 ευρώ σε χαρτοφυλάκιο αξίας 1.000.000 ευρώ.</w:t>
      </w:r>
    </w:p>
    <w:p w14:paraId="68D769DA" w14:textId="77777777" w:rsidR="00FC097F" w:rsidRPr="005B30C1" w:rsidRDefault="00FC097F" w:rsidP="00321E2E">
      <w:pPr>
        <w:pStyle w:val="21"/>
        <w:rPr>
          <w:lang w:val="el-GR"/>
        </w:rPr>
      </w:pPr>
      <w:bookmarkStart w:id="43" w:name="_Toc232171082"/>
      <w:bookmarkStart w:id="44" w:name="υπολογισμός-historical-var"/>
      <w:bookmarkEnd w:id="42"/>
      <w:r w:rsidRPr="005B30C1">
        <w:rPr>
          <w:rFonts w:eastAsia="Times New Roman"/>
          <w:lang w:val="el-GR"/>
        </w:rPr>
        <w:t xml:space="preserve">3.4 Υπολογισμός </w:t>
      </w:r>
      <w:r>
        <w:rPr>
          <w:rFonts w:eastAsia="Times New Roman"/>
        </w:rPr>
        <w:t>Historical</w:t>
      </w:r>
      <w:r w:rsidRPr="005B30C1">
        <w:rPr>
          <w:rFonts w:eastAsia="Times New Roman"/>
          <w:lang w:val="el-GR"/>
        </w:rPr>
        <w:t xml:space="preserve"> </w:t>
      </w:r>
      <w:proofErr w:type="spellStart"/>
      <w:r>
        <w:rPr>
          <w:rFonts w:eastAsia="Times New Roman"/>
        </w:rPr>
        <w:t>VaR</w:t>
      </w:r>
      <w:bookmarkEnd w:id="43"/>
      <w:proofErr w:type="spellEnd"/>
    </w:p>
    <w:p w14:paraId="2B04B19B" w14:textId="77777777" w:rsidR="00FC097F" w:rsidRPr="005B30C1" w:rsidRDefault="00FC097F" w:rsidP="00FC097F">
      <w:pPr>
        <w:ind w:firstLine="357"/>
        <w:rPr>
          <w:lang w:val="el-GR"/>
        </w:rPr>
      </w:pPr>
      <w:r w:rsidRPr="005B30C1">
        <w:rPr>
          <w:lang w:val="el-GR"/>
        </w:rPr>
        <w:t xml:space="preserve">Η </w:t>
      </w:r>
      <w:r>
        <w:t>Historical</w:t>
      </w:r>
      <w:r w:rsidRPr="005B30C1">
        <w:rPr>
          <w:lang w:val="el-GR"/>
        </w:rPr>
        <w:t xml:space="preserve"> </w:t>
      </w:r>
      <w:proofErr w:type="spellStart"/>
      <w:r>
        <w:t>VaR</w:t>
      </w:r>
      <w:proofErr w:type="spellEnd"/>
      <w:r w:rsidRPr="005B30C1">
        <w:rPr>
          <w:lang w:val="el-GR"/>
        </w:rPr>
        <w:t xml:space="preserve"> υπολογίζεται με κυλιόμενο παράθυρο 250 ημερών. Για κάθε ημέρα της περιόδου αξιολόγησης, λαμβάνονται οι προηγούμενες 250 ημερήσιες αποδόσεις του χαρτοφυλακίου και υπολογίζεται το 1ο εκατοστημόριο. Η </w:t>
      </w:r>
      <w:proofErr w:type="spellStart"/>
      <w:r>
        <w:t>VaR</w:t>
      </w:r>
      <w:proofErr w:type="spellEnd"/>
      <w:r w:rsidRPr="005B30C1">
        <w:rPr>
          <w:lang w:val="el-GR"/>
        </w:rPr>
        <w:t xml:space="preserve"> παρουσιάζεται με θετικό πρόσημο, δηλαδή ως μέγεθος ζημίας. Η επιλογή κυλιόμενου παραθύρου αντί σταθερού </w:t>
      </w:r>
      <w:r w:rsidRPr="005B30C1">
        <w:rPr>
          <w:lang w:val="el-GR"/>
        </w:rPr>
        <w:lastRenderedPageBreak/>
        <w:t xml:space="preserve">πλήρους δείγματος επιτρέπει στο μοντέλο να ενημερώνεται με την πάροδο του χρόνου, έστω και πιο αργά από την </w:t>
      </w:r>
      <w:r>
        <w:t>EWMA</w:t>
      </w:r>
      <w:r w:rsidRPr="005B30C1">
        <w:rPr>
          <w:lang w:val="el-GR"/>
        </w:rPr>
        <w:t>.</w:t>
      </w:r>
    </w:p>
    <w:p w14:paraId="6E1E3FE1" w14:textId="77777777" w:rsidR="00FC097F" w:rsidRPr="005B30C1" w:rsidRDefault="00FC097F" w:rsidP="00FC097F">
      <w:pPr>
        <w:pStyle w:val="af"/>
        <w:rPr>
          <w:lang w:val="el-GR"/>
        </w:rPr>
      </w:pPr>
      <w:r w:rsidRPr="005B30C1">
        <w:rPr>
          <w:lang w:val="el-GR"/>
        </w:rPr>
        <w:t>Το μοντέλο μπορεί να συνοψιστεί ως εξής:</w:t>
      </w:r>
    </w:p>
    <w:p w14:paraId="198579E6" w14:textId="42DA57FF" w:rsidR="00FC097F" w:rsidRPr="00FC097F" w:rsidRDefault="00B06BF3" w:rsidP="00FC097F">
      <w:pPr>
        <w:pStyle w:val="af"/>
        <w:tabs>
          <w:tab w:val="right" w:leader="dot" w:pos="8504"/>
          <w:tab w:val="right" w:pos="9072"/>
        </w:tabs>
        <w:jc w:val="center"/>
        <w:rPr>
          <w:lang w:val="el-GR"/>
        </w:rPr>
      </w:pPr>
      <m:oMath>
        <m:sSubSup>
          <m:sSubSupPr>
            <m:ctrlPr>
              <w:rPr>
                <w:rFonts w:ascii="Cambria Math" w:hAnsi="Cambria Math"/>
              </w:rPr>
            </m:ctrlPr>
          </m:sSubSupPr>
          <m:e>
            <m:r>
              <m:rPr>
                <m:sty m:val="p"/>
              </m:rPr>
              <w:rPr>
                <w:rFonts w:ascii="Cambria Math" w:hAnsi="Cambria Math"/>
              </w:rPr>
              <m:t>VaR</m:t>
            </m:r>
          </m:e>
          <m:sub>
            <m:r>
              <w:rPr>
                <w:rFonts w:ascii="Cambria Math" w:hAnsi="Cambria Math"/>
                <w:lang w:val="el-GR"/>
              </w:rPr>
              <m:t>0.99</m:t>
            </m:r>
            <m:r>
              <m:rPr>
                <m:sty m:val="p"/>
              </m:rPr>
              <w:rPr>
                <w:rFonts w:ascii="Cambria Math" w:hAnsi="Cambria Math"/>
                <w:lang w:val="el-GR"/>
              </w:rPr>
              <m:t>,</m:t>
            </m:r>
            <m:r>
              <w:rPr>
                <w:rFonts w:ascii="Cambria Math" w:hAnsi="Cambria Math"/>
              </w:rPr>
              <m:t>t</m:t>
            </m:r>
          </m:sub>
          <m:sup>
            <m:r>
              <w:rPr>
                <w:rFonts w:ascii="Cambria Math" w:hAnsi="Cambria Math"/>
              </w:rPr>
              <m:t>HS</m:t>
            </m:r>
          </m:sup>
        </m:sSubSup>
        <m:r>
          <m:rPr>
            <m:sty m:val="p"/>
          </m:rPr>
          <w:rPr>
            <w:rFonts w:ascii="Cambria Math" w:hAnsi="Cambria Math"/>
            <w:lang w:val="el-GR"/>
          </w:rPr>
          <m:t>=-</m:t>
        </m:r>
        <m:sSub>
          <m:sSubPr>
            <m:ctrlPr>
              <w:rPr>
                <w:rFonts w:ascii="Cambria Math" w:hAnsi="Cambria Math"/>
              </w:rPr>
            </m:ctrlPr>
          </m:sSubPr>
          <m:e>
            <m:r>
              <w:rPr>
                <w:rFonts w:ascii="Cambria Math" w:hAnsi="Cambria Math"/>
              </w:rPr>
              <m:t>Q</m:t>
            </m:r>
          </m:e>
          <m:sub>
            <m:r>
              <w:rPr>
                <w:rFonts w:ascii="Cambria Math" w:hAnsi="Cambria Math"/>
                <w:lang w:val="el-GR"/>
              </w:rPr>
              <m:t>0.01</m:t>
            </m:r>
          </m:sub>
        </m:sSub>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r>
                  <m:rPr>
                    <m:sty m:val="p"/>
                  </m:rPr>
                  <w:rPr>
                    <w:rFonts w:ascii="Cambria Math" w:hAnsi="Cambria Math"/>
                    <w:lang w:val="el-GR"/>
                  </w:rPr>
                  <m:t>-</m:t>
                </m:r>
                <m:r>
                  <w:rPr>
                    <w:rFonts w:ascii="Cambria Math" w:hAnsi="Cambria Math"/>
                    <w:lang w:val="el-GR"/>
                  </w:rPr>
                  <m:t>249</m:t>
                </m:r>
              </m:sub>
            </m:sSub>
            <m:r>
              <m:rPr>
                <m:sty m:val="p"/>
              </m:rPr>
              <w:rPr>
                <w:rFonts w:ascii="Cambria Math" w:hAnsi="Cambria Math"/>
                <w:lang w:val="el-GR"/>
              </w:rPr>
              <m:t>,...,</m:t>
            </m:r>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sub>
            </m:sSub>
          </m:e>
        </m:d>
        <m:r>
          <w:rPr>
            <w:rFonts w:ascii="Cambria Math" w:hAnsi="Cambria Math"/>
            <w:lang w:val="el-GR"/>
          </w:rPr>
          <m:t xml:space="preserve"> </m:t>
        </m:r>
      </m:oMath>
      <w:r w:rsidR="00FC097F" w:rsidRPr="00FC097F">
        <w:rPr>
          <w:lang w:val="el-GR"/>
        </w:rPr>
        <w:t>(3.3)</w:t>
      </w:r>
    </w:p>
    <w:p w14:paraId="30A23A68" w14:textId="77777777" w:rsidR="00FC097F" w:rsidRPr="005B30C1" w:rsidRDefault="00FC097F" w:rsidP="00FC097F">
      <w:pPr>
        <w:ind w:firstLine="357"/>
        <w:rPr>
          <w:lang w:val="el-GR"/>
        </w:rPr>
      </w:pPr>
      <w:r w:rsidRPr="005B30C1">
        <w:rPr>
          <w:lang w:val="el-GR"/>
        </w:rPr>
        <w:t>Η μέθοδος εφαρμόζεται τόσο στο αρχικό χαρτοφυλάκιο όσο και στο αντισταθμισμένο χαρτοφυλάκιο. Με αυτόν τον τρόπο είναι δυνατή η σύγκριση της συμπεριφοράς της ίδιας μεθόδου πριν και μετά την αντιστάθμιση.</w:t>
      </w:r>
    </w:p>
    <w:p w14:paraId="5AA7770E" w14:textId="77777777" w:rsidR="00FC097F" w:rsidRPr="005B30C1" w:rsidRDefault="00FC097F" w:rsidP="00321E2E">
      <w:pPr>
        <w:pStyle w:val="21"/>
        <w:rPr>
          <w:lang w:val="el-GR"/>
        </w:rPr>
      </w:pPr>
      <w:bookmarkStart w:id="45" w:name="_Toc232171083"/>
      <w:bookmarkStart w:id="46" w:name="υπολογισμός-ewma-var"/>
      <w:bookmarkEnd w:id="44"/>
      <w:r w:rsidRPr="005B30C1">
        <w:rPr>
          <w:rFonts w:eastAsia="Times New Roman"/>
          <w:lang w:val="el-GR"/>
        </w:rPr>
        <w:t xml:space="preserve">3.5 Υπολογισμός </w:t>
      </w:r>
      <w:r>
        <w:rPr>
          <w:rFonts w:eastAsia="Times New Roman"/>
        </w:rPr>
        <w:t>EWMA</w:t>
      </w:r>
      <w:r w:rsidRPr="005B30C1">
        <w:rPr>
          <w:rFonts w:eastAsia="Times New Roman"/>
          <w:lang w:val="el-GR"/>
        </w:rPr>
        <w:t xml:space="preserve"> </w:t>
      </w:r>
      <w:proofErr w:type="spellStart"/>
      <w:r>
        <w:rPr>
          <w:rFonts w:eastAsia="Times New Roman"/>
        </w:rPr>
        <w:t>VaR</w:t>
      </w:r>
      <w:bookmarkEnd w:id="45"/>
      <w:proofErr w:type="spellEnd"/>
    </w:p>
    <w:p w14:paraId="658F34AB" w14:textId="77777777" w:rsidR="00FC097F" w:rsidRPr="00FC097F" w:rsidRDefault="00FC097F" w:rsidP="00FC097F">
      <w:pPr>
        <w:ind w:firstLine="357"/>
        <w:rPr>
          <w:lang w:val="el-GR"/>
        </w:rPr>
      </w:pPr>
      <w:r w:rsidRPr="005B30C1">
        <w:rPr>
          <w:lang w:val="el-GR"/>
        </w:rPr>
        <w:t xml:space="preserve">Για την </w:t>
      </w:r>
      <w:r>
        <w:t>EWMA</w:t>
      </w:r>
      <w:r w:rsidRPr="005B30C1">
        <w:rPr>
          <w:lang w:val="el-GR"/>
        </w:rPr>
        <w:t xml:space="preserve"> </w:t>
      </w:r>
      <w:proofErr w:type="spellStart"/>
      <w:r>
        <w:t>VaR</w:t>
      </w:r>
      <w:proofErr w:type="spellEnd"/>
      <w:r w:rsidRPr="005B30C1">
        <w:rPr>
          <w:lang w:val="el-GR"/>
        </w:rPr>
        <w:t xml:space="preserve"> χρησιμοποιείται συντελεστής εξομάλυνσης </w:t>
      </w:r>
      <m:oMath>
        <m:r>
          <w:rPr>
            <w:rFonts w:ascii="Cambria Math" w:hAnsi="Cambria Math"/>
          </w:rPr>
          <m:t>λ</m:t>
        </m:r>
        <m:r>
          <m:rPr>
            <m:sty m:val="p"/>
          </m:rPr>
          <w:rPr>
            <w:rFonts w:ascii="Cambria Math" w:hAnsi="Cambria Math"/>
            <w:lang w:val="el-GR"/>
          </w:rPr>
          <m:t>=</m:t>
        </m:r>
        <m:r>
          <w:rPr>
            <w:rFonts w:ascii="Cambria Math" w:hAnsi="Cambria Math"/>
            <w:lang w:val="el-GR"/>
          </w:rPr>
          <m:t>0.94</m:t>
        </m:r>
      </m:oMath>
      <w:r w:rsidRPr="005B30C1">
        <w:rPr>
          <w:lang w:val="el-GR"/>
        </w:rPr>
        <w:t xml:space="preserve">. Η επιλογή αυτή είναι σύμφωνη με την κλασική προσέγγιση </w:t>
      </w:r>
      <w:proofErr w:type="spellStart"/>
      <w:r>
        <w:t>RiskMetrics</w:t>
      </w:r>
      <w:proofErr w:type="spellEnd"/>
      <w:r w:rsidRPr="005B30C1">
        <w:rPr>
          <w:lang w:val="el-GR"/>
        </w:rPr>
        <w:t xml:space="preserve"> για ημερήσια χρηματοοικονομικά δεδομένα και επιτρέπει μεγαλύτερη βαρύτητα στις πρόσφατες παρατηρήσεις. </w:t>
      </w:r>
      <w:r w:rsidRPr="00FC097F">
        <w:rPr>
          <w:lang w:val="el-GR"/>
        </w:rPr>
        <w:t>Η διακύμανση ενημερώνεται αναδρομικά με βάση τη σχέση: (</w:t>
      </w:r>
      <w:proofErr w:type="spellStart"/>
      <w:r>
        <w:t>RiskMetrics</w:t>
      </w:r>
      <w:proofErr w:type="spellEnd"/>
      <w:r w:rsidRPr="00FC097F">
        <w:rPr>
          <w:lang w:val="el-GR"/>
        </w:rPr>
        <w:t xml:space="preserve"> </w:t>
      </w:r>
      <w:r>
        <w:t>Group</w:t>
      </w:r>
      <w:r w:rsidRPr="00FC097F">
        <w:rPr>
          <w:lang w:val="el-GR"/>
        </w:rPr>
        <w:t>, 1996)</w:t>
      </w:r>
    </w:p>
    <w:p w14:paraId="41E46321" w14:textId="5FC360D1" w:rsidR="00FC097F" w:rsidRPr="00FC097F" w:rsidRDefault="00B06BF3" w:rsidP="00FC097F">
      <w:pPr>
        <w:pStyle w:val="af"/>
        <w:tabs>
          <w:tab w:val="right" w:leader="dot" w:pos="8504"/>
          <w:tab w:val="right" w:pos="9072"/>
        </w:tabs>
        <w:jc w:val="center"/>
        <w:rPr>
          <w:lang w:val="el-GR"/>
        </w:rPr>
      </w:pPr>
      <m:oMath>
        <m:sSubSup>
          <m:sSubSupPr>
            <m:ctrlPr>
              <w:rPr>
                <w:rFonts w:ascii="Cambria Math" w:hAnsi="Cambria Math"/>
              </w:rPr>
            </m:ctrlPr>
          </m:sSubSupPr>
          <m:e>
            <m:r>
              <w:rPr>
                <w:rFonts w:ascii="Cambria Math" w:hAnsi="Cambria Math"/>
              </w:rPr>
              <m:t>σ</m:t>
            </m:r>
          </m:e>
          <m:sub>
            <m:r>
              <w:rPr>
                <w:rFonts w:ascii="Cambria Math" w:hAnsi="Cambria Math"/>
              </w:rPr>
              <m:t>t</m:t>
            </m:r>
          </m:sub>
          <m:sup>
            <m:r>
              <w:rPr>
                <w:rFonts w:ascii="Cambria Math" w:hAnsi="Cambria Math"/>
                <w:lang w:val="el-GR"/>
              </w:rPr>
              <m:t>2</m:t>
            </m:r>
          </m:sup>
        </m:sSubSup>
        <m:r>
          <m:rPr>
            <m:sty m:val="p"/>
          </m:rPr>
          <w:rPr>
            <w:rFonts w:ascii="Cambria Math" w:hAnsi="Cambria Math"/>
            <w:lang w:val="el-GR"/>
          </w:rPr>
          <m:t>=</m:t>
        </m:r>
        <m:r>
          <w:rPr>
            <w:rFonts w:ascii="Cambria Math" w:hAnsi="Cambria Math"/>
            <w:lang w:val="el-GR"/>
          </w:rPr>
          <m:t>0.94</m:t>
        </m:r>
        <m:sSubSup>
          <m:sSubSupPr>
            <m:ctrlPr>
              <w:rPr>
                <w:rFonts w:ascii="Cambria Math" w:hAnsi="Cambria Math"/>
              </w:rPr>
            </m:ctrlPr>
          </m:sSubSupPr>
          <m:e>
            <m:r>
              <w:rPr>
                <w:rFonts w:ascii="Cambria Math" w:hAnsi="Cambria Math"/>
              </w:rPr>
              <m:t>σ</m:t>
            </m:r>
          </m:e>
          <m:sub>
            <m:r>
              <w:rPr>
                <w:rFonts w:ascii="Cambria Math" w:hAnsi="Cambria Math"/>
              </w:rPr>
              <m:t>t</m:t>
            </m:r>
            <m:r>
              <m:rPr>
                <m:sty m:val="p"/>
              </m:rPr>
              <w:rPr>
                <w:rFonts w:ascii="Cambria Math" w:hAnsi="Cambria Math"/>
                <w:lang w:val="el-GR"/>
              </w:rPr>
              <m:t>-</m:t>
            </m:r>
            <m:r>
              <w:rPr>
                <w:rFonts w:ascii="Cambria Math" w:hAnsi="Cambria Math"/>
                <w:lang w:val="el-GR"/>
              </w:rPr>
              <m:t>1</m:t>
            </m:r>
          </m:sub>
          <m:sup>
            <m:r>
              <w:rPr>
                <w:rFonts w:ascii="Cambria Math" w:hAnsi="Cambria Math"/>
                <w:lang w:val="el-GR"/>
              </w:rPr>
              <m:t>2</m:t>
            </m:r>
          </m:sup>
        </m:sSubSup>
        <m:r>
          <m:rPr>
            <m:sty m:val="p"/>
          </m:rPr>
          <w:rPr>
            <w:rFonts w:ascii="Cambria Math" w:hAnsi="Cambria Math"/>
            <w:lang w:val="el-GR"/>
          </w:rPr>
          <m:t>+</m:t>
        </m:r>
        <m:r>
          <w:rPr>
            <w:rFonts w:ascii="Cambria Math" w:hAnsi="Cambria Math"/>
            <w:lang w:val="el-GR"/>
          </w:rPr>
          <m:t>0.06</m:t>
        </m:r>
        <m:sSubSup>
          <m:sSubSupPr>
            <m:ctrlPr>
              <w:rPr>
                <w:rFonts w:ascii="Cambria Math" w:hAnsi="Cambria Math"/>
              </w:rPr>
            </m:ctrlPr>
          </m:sSubSup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r>
              <m:rPr>
                <m:sty m:val="p"/>
              </m:rPr>
              <w:rPr>
                <w:rFonts w:ascii="Cambria Math" w:hAnsi="Cambria Math"/>
                <w:lang w:val="el-GR"/>
              </w:rPr>
              <m:t>-</m:t>
            </m:r>
            <m:r>
              <w:rPr>
                <w:rFonts w:ascii="Cambria Math" w:hAnsi="Cambria Math"/>
                <w:lang w:val="el-GR"/>
              </w:rPr>
              <m:t>1</m:t>
            </m:r>
          </m:sub>
          <m:sup>
            <m:r>
              <w:rPr>
                <w:rFonts w:ascii="Cambria Math" w:hAnsi="Cambria Math"/>
                <w:lang w:val="el-GR"/>
              </w:rPr>
              <m:t>2</m:t>
            </m:r>
          </m:sup>
        </m:sSubSup>
        <m:r>
          <w:rPr>
            <w:rFonts w:ascii="Cambria Math" w:hAnsi="Cambria Math"/>
            <w:lang w:val="el-GR"/>
          </w:rPr>
          <m:t xml:space="preserve"> </m:t>
        </m:r>
      </m:oMath>
      <w:r w:rsidR="00FC097F" w:rsidRPr="00FC097F">
        <w:rPr>
          <w:lang w:val="el-GR"/>
        </w:rPr>
        <w:t>(3.4)</w:t>
      </w:r>
    </w:p>
    <w:p w14:paraId="71BBCF1D" w14:textId="77777777" w:rsidR="00FC097F" w:rsidRPr="005B30C1" w:rsidRDefault="00FC097F" w:rsidP="00FC097F">
      <w:pPr>
        <w:ind w:firstLine="357"/>
        <w:rPr>
          <w:lang w:val="el-GR"/>
        </w:rPr>
      </w:pPr>
      <w:r w:rsidRPr="005B30C1">
        <w:rPr>
          <w:lang w:val="el-GR"/>
        </w:rPr>
        <w:t xml:space="preserve">Η ημερήσια </w:t>
      </w:r>
      <w:r>
        <w:t>EWMA</w:t>
      </w:r>
      <w:r w:rsidRPr="005B30C1">
        <w:rPr>
          <w:lang w:val="el-GR"/>
        </w:rPr>
        <w:t xml:space="preserve"> </w:t>
      </w:r>
      <w:proofErr w:type="spellStart"/>
      <w:r>
        <w:t>VaR</w:t>
      </w:r>
      <w:proofErr w:type="spellEnd"/>
      <w:r w:rsidRPr="005B30C1">
        <w:rPr>
          <w:lang w:val="el-GR"/>
        </w:rPr>
        <w:t xml:space="preserve"> υπολογίζεται ως:</w:t>
      </w:r>
    </w:p>
    <w:p w14:paraId="4D057B7A" w14:textId="1BEBB5AE" w:rsidR="00FC097F" w:rsidRPr="00FC097F" w:rsidRDefault="00B06BF3" w:rsidP="00FC097F">
      <w:pPr>
        <w:pStyle w:val="af"/>
        <w:tabs>
          <w:tab w:val="right" w:leader="dot" w:pos="8504"/>
          <w:tab w:val="right" w:pos="9072"/>
        </w:tabs>
        <w:jc w:val="center"/>
        <w:rPr>
          <w:lang w:val="el-GR"/>
        </w:rPr>
      </w:pPr>
      <m:oMath>
        <m:sSubSup>
          <m:sSubSupPr>
            <m:ctrlPr>
              <w:rPr>
                <w:rFonts w:ascii="Cambria Math" w:hAnsi="Cambria Math"/>
              </w:rPr>
            </m:ctrlPr>
          </m:sSubSupPr>
          <m:e>
            <m:r>
              <m:rPr>
                <m:sty m:val="p"/>
              </m:rPr>
              <w:rPr>
                <w:rFonts w:ascii="Cambria Math" w:hAnsi="Cambria Math"/>
              </w:rPr>
              <m:t>VaR</m:t>
            </m:r>
          </m:e>
          <m:sub>
            <m:r>
              <w:rPr>
                <w:rFonts w:ascii="Cambria Math" w:hAnsi="Cambria Math"/>
                <w:lang w:val="el-GR"/>
              </w:rPr>
              <m:t>0.99</m:t>
            </m:r>
            <m:r>
              <m:rPr>
                <m:sty m:val="p"/>
              </m:rPr>
              <w:rPr>
                <w:rFonts w:ascii="Cambria Math" w:hAnsi="Cambria Math"/>
                <w:lang w:val="el-GR"/>
              </w:rPr>
              <m:t>,</m:t>
            </m:r>
            <m:r>
              <w:rPr>
                <w:rFonts w:ascii="Cambria Math" w:hAnsi="Cambria Math"/>
              </w:rPr>
              <m:t>t</m:t>
            </m:r>
          </m:sub>
          <m:sup>
            <m:r>
              <w:rPr>
                <w:rFonts w:ascii="Cambria Math" w:hAnsi="Cambria Math"/>
              </w:rPr>
              <m:t>EWMA</m:t>
            </m:r>
          </m:sup>
        </m:sSubSup>
        <m:r>
          <m:rPr>
            <m:sty m:val="p"/>
          </m:rPr>
          <w:rPr>
            <w:rFonts w:ascii="Cambria Math" w:hAnsi="Cambria Math"/>
            <w:lang w:val="el-GR"/>
          </w:rPr>
          <m:t>=</m:t>
        </m:r>
        <m:r>
          <w:rPr>
            <w:rFonts w:ascii="Cambria Math" w:hAnsi="Cambria Math"/>
            <w:lang w:val="el-GR"/>
          </w:rPr>
          <m:t>2.3263</m:t>
        </m:r>
        <m:r>
          <m:rPr>
            <m:sty m:val="p"/>
          </m:rPr>
          <w:rPr>
            <w:rFonts w:ascii="Cambria Math" w:hAnsi="Cambria Math"/>
            <w:lang w:val="el-GR"/>
          </w:rPr>
          <m:t>×</m:t>
        </m:r>
        <m:sSub>
          <m:sSubPr>
            <m:ctrlPr>
              <w:rPr>
                <w:rFonts w:ascii="Cambria Math" w:hAnsi="Cambria Math"/>
              </w:rPr>
            </m:ctrlPr>
          </m:sSubPr>
          <m:e>
            <m:r>
              <w:rPr>
                <w:rFonts w:ascii="Cambria Math" w:hAnsi="Cambria Math"/>
              </w:rPr>
              <m:t>σ</m:t>
            </m:r>
          </m:e>
          <m:sub>
            <m:r>
              <w:rPr>
                <w:rFonts w:ascii="Cambria Math" w:hAnsi="Cambria Math"/>
              </w:rPr>
              <m:t>t</m:t>
            </m:r>
          </m:sub>
        </m:sSub>
        <m:r>
          <w:rPr>
            <w:rFonts w:ascii="Cambria Math" w:hAnsi="Cambria Math"/>
            <w:lang w:val="el-GR"/>
          </w:rPr>
          <m:t xml:space="preserve"> </m:t>
        </m:r>
      </m:oMath>
      <w:r w:rsidR="00FC097F" w:rsidRPr="00FC097F">
        <w:rPr>
          <w:lang w:val="el-GR"/>
        </w:rPr>
        <w:t>(3.5)</w:t>
      </w:r>
    </w:p>
    <w:p w14:paraId="665EDF8B" w14:textId="77777777" w:rsidR="00FC097F" w:rsidRPr="005B30C1" w:rsidRDefault="00FC097F" w:rsidP="00FC097F">
      <w:pPr>
        <w:ind w:firstLine="357"/>
        <w:rPr>
          <w:lang w:val="el-GR"/>
        </w:rPr>
      </w:pPr>
      <w:r w:rsidRPr="005B30C1">
        <w:rPr>
          <w:lang w:val="el-GR"/>
        </w:rPr>
        <w:t>Για τον δεκαήμερο ορίζοντα εφαρμόζεται η σχέση:</w:t>
      </w:r>
    </w:p>
    <w:p w14:paraId="60B2CABC" w14:textId="390D91AD" w:rsidR="00FC097F" w:rsidRPr="00FC097F" w:rsidRDefault="00B06BF3" w:rsidP="00FC097F">
      <w:pPr>
        <w:pStyle w:val="af"/>
        <w:tabs>
          <w:tab w:val="right" w:leader="dot" w:pos="8504"/>
          <w:tab w:val="right" w:pos="9072"/>
        </w:tabs>
        <w:jc w:val="center"/>
        <w:rPr>
          <w:lang w:val="el-GR"/>
        </w:rPr>
      </w:pPr>
      <m:oMath>
        <m:sSub>
          <m:sSubPr>
            <m:ctrlPr>
              <w:rPr>
                <w:rFonts w:ascii="Cambria Math" w:hAnsi="Cambria Math"/>
              </w:rPr>
            </m:ctrlPr>
          </m:sSubPr>
          <m:e>
            <m:r>
              <m:rPr>
                <m:sty m:val="p"/>
              </m:rPr>
              <w:rPr>
                <w:rFonts w:ascii="Cambria Math" w:hAnsi="Cambria Math"/>
              </w:rPr>
              <m:t>VaR</m:t>
            </m:r>
          </m:e>
          <m:sub>
            <m:r>
              <w:rPr>
                <w:rFonts w:ascii="Cambria Math" w:hAnsi="Cambria Math"/>
                <w:lang w:val="el-GR"/>
              </w:rPr>
              <m:t>10</m:t>
            </m:r>
            <m:r>
              <w:rPr>
                <w:rFonts w:ascii="Cambria Math" w:hAnsi="Cambria Math"/>
              </w:rPr>
              <m:t>d</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m:t>
        </m:r>
        <m:rad>
          <m:radPr>
            <m:degHide m:val="1"/>
            <m:ctrlPr>
              <w:rPr>
                <w:rFonts w:ascii="Cambria Math" w:hAnsi="Cambria Math"/>
              </w:rPr>
            </m:ctrlPr>
          </m:radPr>
          <m:deg/>
          <m:e>
            <m:r>
              <w:rPr>
                <w:rFonts w:ascii="Cambria Math" w:hAnsi="Cambria Math"/>
                <w:lang w:val="el-GR"/>
              </w:rPr>
              <m:t>10</m:t>
            </m:r>
          </m:e>
        </m:rad>
        <m:r>
          <m:rPr>
            <m:sty m:val="p"/>
          </m:rPr>
          <w:rPr>
            <w:rFonts w:ascii="Cambria Math" w:hAnsi="Cambria Math"/>
            <w:lang w:val="el-GR"/>
          </w:rPr>
          <m:t>×</m:t>
        </m:r>
        <m:sSub>
          <m:sSubPr>
            <m:ctrlPr>
              <w:rPr>
                <w:rFonts w:ascii="Cambria Math" w:hAnsi="Cambria Math"/>
              </w:rPr>
            </m:ctrlPr>
          </m:sSubPr>
          <m:e>
            <m:r>
              <m:rPr>
                <m:sty m:val="p"/>
              </m:rPr>
              <w:rPr>
                <w:rFonts w:ascii="Cambria Math" w:hAnsi="Cambria Math"/>
              </w:rPr>
              <m:t>VaR</m:t>
            </m:r>
          </m:e>
          <m:sub>
            <m:r>
              <w:rPr>
                <w:rFonts w:ascii="Cambria Math" w:hAnsi="Cambria Math"/>
                <w:lang w:val="el-GR"/>
              </w:rPr>
              <m:t>1</m:t>
            </m:r>
            <m:r>
              <w:rPr>
                <w:rFonts w:ascii="Cambria Math" w:hAnsi="Cambria Math"/>
              </w:rPr>
              <m:t>d</m:t>
            </m:r>
            <m:r>
              <m:rPr>
                <m:sty m:val="p"/>
              </m:rPr>
              <w:rPr>
                <w:rFonts w:ascii="Cambria Math" w:hAnsi="Cambria Math"/>
                <w:lang w:val="el-GR"/>
              </w:rPr>
              <m:t>,</m:t>
            </m:r>
            <m:r>
              <w:rPr>
                <w:rFonts w:ascii="Cambria Math" w:hAnsi="Cambria Math"/>
              </w:rPr>
              <m:t>t</m:t>
            </m:r>
          </m:sub>
        </m:sSub>
        <m:r>
          <w:rPr>
            <w:rFonts w:ascii="Cambria Math" w:hAnsi="Cambria Math"/>
            <w:lang w:val="el-GR"/>
          </w:rPr>
          <m:t xml:space="preserve"> </m:t>
        </m:r>
      </m:oMath>
      <w:r w:rsidR="00FC097F" w:rsidRPr="00FC097F">
        <w:rPr>
          <w:lang w:val="el-GR"/>
        </w:rPr>
        <w:t>(3.6)</w:t>
      </w:r>
    </w:p>
    <w:p w14:paraId="46187613" w14:textId="77777777" w:rsidR="00FC097F" w:rsidRPr="005B30C1" w:rsidRDefault="00FC097F" w:rsidP="00FC097F">
      <w:pPr>
        <w:ind w:firstLine="357"/>
        <w:rPr>
          <w:lang w:val="el-GR"/>
        </w:rPr>
      </w:pPr>
      <w:r w:rsidRPr="005B30C1">
        <w:rPr>
          <w:lang w:val="el-GR"/>
        </w:rPr>
        <w:t>και στη συνέχεια το ποσοστό πολλαπλασιάζεται με την ενδεικτική αξία χαρτοφυλακίου των 1.000.000 ευρώ, ώστε να εξαχθεί η χρηματική αξία της δυνητικής ζημίας.</w:t>
      </w:r>
    </w:p>
    <w:p w14:paraId="33768055" w14:textId="77777777" w:rsidR="00FC097F" w:rsidRPr="005B30C1" w:rsidRDefault="00FC097F" w:rsidP="00321E2E">
      <w:pPr>
        <w:pStyle w:val="21"/>
        <w:rPr>
          <w:lang w:val="el-GR"/>
        </w:rPr>
      </w:pPr>
      <w:bookmarkStart w:id="47" w:name="_Toc232171084"/>
      <w:bookmarkStart w:id="48" w:name="backtesting"/>
      <w:bookmarkEnd w:id="46"/>
      <w:r w:rsidRPr="005B30C1">
        <w:rPr>
          <w:rFonts w:eastAsia="Times New Roman"/>
          <w:lang w:val="el-GR"/>
        </w:rPr>
        <w:t xml:space="preserve">3.6 </w:t>
      </w:r>
      <w:proofErr w:type="spellStart"/>
      <w:r>
        <w:rPr>
          <w:rFonts w:eastAsia="Times New Roman"/>
        </w:rPr>
        <w:t>Backtesting</w:t>
      </w:r>
      <w:bookmarkEnd w:id="47"/>
      <w:proofErr w:type="spellEnd"/>
    </w:p>
    <w:p w14:paraId="64261704" w14:textId="77777777" w:rsidR="00FC097F" w:rsidRPr="005B30C1" w:rsidRDefault="00FC097F" w:rsidP="00FC097F">
      <w:pPr>
        <w:ind w:firstLine="357"/>
        <w:rPr>
          <w:lang w:val="el-GR"/>
        </w:rPr>
      </w:pPr>
      <w:r w:rsidRPr="005B30C1">
        <w:rPr>
          <w:lang w:val="el-GR"/>
        </w:rPr>
        <w:t xml:space="preserve">Το </w:t>
      </w:r>
      <w:proofErr w:type="spellStart"/>
      <w:r>
        <w:t>backtesting</w:t>
      </w:r>
      <w:proofErr w:type="spellEnd"/>
      <w:r w:rsidRPr="005B30C1">
        <w:rPr>
          <w:lang w:val="el-GR"/>
        </w:rPr>
        <w:t xml:space="preserve"> εφαρμόζεται στις ημερήσιες προβλέψεις </w:t>
      </w:r>
      <w:proofErr w:type="spellStart"/>
      <w:r>
        <w:t>VaR</w:t>
      </w:r>
      <w:proofErr w:type="spellEnd"/>
      <w:r w:rsidRPr="005B30C1">
        <w:rPr>
          <w:lang w:val="el-GR"/>
        </w:rPr>
        <w:t xml:space="preserve">. Για κάθε ημέρα συγκρίνεται η πραγματική ημερήσια απόδοση με το αρνητικό της εκτιμημένης </w:t>
      </w:r>
      <w:proofErr w:type="spellStart"/>
      <w:r>
        <w:t>VaR</w:t>
      </w:r>
      <w:proofErr w:type="spellEnd"/>
      <w:r w:rsidRPr="005B30C1">
        <w:rPr>
          <w:lang w:val="el-GR"/>
        </w:rPr>
        <w:t>. Αν η απόδοση είναι μικρότερη από το όριο, τότε καταγράφεται εξαίρεση. Για επίπεδο εμπιστοσύνης 99%, η αναμενόμενη συχνότητα εξαιρέσεων είναι 1%. Με 1.258 παρατηρήσεις, ο αναμενόμενος αριθμός εξαιρέσεων είναι περίπου 12,58.</w:t>
      </w:r>
    </w:p>
    <w:p w14:paraId="244DE200" w14:textId="77777777" w:rsidR="00FC097F" w:rsidRPr="005B30C1" w:rsidRDefault="00FC097F" w:rsidP="00FC097F">
      <w:pPr>
        <w:rPr>
          <w:lang w:val="el-GR"/>
        </w:rPr>
      </w:pPr>
      <w:r w:rsidRPr="005B30C1">
        <w:rPr>
          <w:lang w:val="el-GR"/>
        </w:rPr>
        <w:t xml:space="preserve">Το 1% αφορά τη θεωρητικά αναμενόμενη συχνότητα εξαιρέσεων για </w:t>
      </w:r>
      <w:proofErr w:type="spellStart"/>
      <w:r>
        <w:t>VaR</w:t>
      </w:r>
      <w:proofErr w:type="spellEnd"/>
      <w:r w:rsidRPr="005B30C1">
        <w:rPr>
          <w:lang w:val="el-GR"/>
        </w:rPr>
        <w:t xml:space="preserve"> 99%, ενώ το 5% χρησιμοποιείται ως επίπεδο σημαντικότητας για την απόφαση του ελέγχου </w:t>
      </w:r>
      <w:r>
        <w:t>Kupiec</w:t>
      </w:r>
      <w:r w:rsidRPr="005B30C1">
        <w:rPr>
          <w:lang w:val="el-GR"/>
        </w:rPr>
        <w:t xml:space="preserve">. Αν το </w:t>
      </w:r>
      <w:r>
        <w:t>p</w:t>
      </w:r>
      <w:r w:rsidRPr="005B30C1">
        <w:rPr>
          <w:lang w:val="el-GR"/>
        </w:rPr>
        <w:t>-</w:t>
      </w:r>
      <w:r>
        <w:lastRenderedPageBreak/>
        <w:t>value</w:t>
      </w:r>
      <w:r w:rsidRPr="005B30C1">
        <w:rPr>
          <w:lang w:val="el-GR"/>
        </w:rPr>
        <w:t xml:space="preserve"> του </w:t>
      </w:r>
      <w:r>
        <w:t>Kupiec</w:t>
      </w:r>
      <w:r w:rsidRPr="005B30C1">
        <w:rPr>
          <w:lang w:val="el-GR"/>
        </w:rPr>
        <w:t xml:space="preserve"> είναι μικρότερο από 5%, απορρίπτεται η υπόθεση σωστής ανεπιφύλακτης κάλυψης.</w:t>
      </w:r>
    </w:p>
    <w:p w14:paraId="5AE3E2E7" w14:textId="77777777" w:rsidR="00FC097F" w:rsidRPr="005B30C1" w:rsidRDefault="00FC097F" w:rsidP="00FC097F">
      <w:pPr>
        <w:pStyle w:val="af"/>
        <w:rPr>
          <w:lang w:val="el-GR"/>
        </w:rPr>
      </w:pPr>
      <w:r w:rsidRPr="005B30C1">
        <w:rPr>
          <w:lang w:val="el-GR"/>
        </w:rPr>
        <w:t xml:space="preserve">Η στατιστική αξιολόγηση γίνεται με τον έλεγχο </w:t>
      </w:r>
      <w:r>
        <w:t>Kupiec</w:t>
      </w:r>
      <w:r w:rsidRPr="005B30C1">
        <w:rPr>
          <w:lang w:val="el-GR"/>
        </w:rPr>
        <w:t xml:space="preserve">. Η μηδενική υπόθεση είναι ότι το πραγματικό ποσοστό εξαιρέσεων ισούται με το θεωρητικά αναμενόμενο. Αν το </w:t>
      </w:r>
      <w:r>
        <w:t>p</w:t>
      </w:r>
      <w:r w:rsidRPr="005B30C1">
        <w:rPr>
          <w:lang w:val="el-GR"/>
        </w:rPr>
        <w:t>-</w:t>
      </w:r>
      <w:r>
        <w:t>value</w:t>
      </w:r>
      <w:r w:rsidRPr="005B30C1">
        <w:rPr>
          <w:lang w:val="el-GR"/>
        </w:rPr>
        <w:t xml:space="preserve"> είναι χαμηλό, τότε το μοντέλο δεν θεωρείται στατιστικά επαρκές ως προς την κάλυψη.</w:t>
      </w:r>
    </w:p>
    <w:p w14:paraId="7384AE01" w14:textId="77777777" w:rsidR="00FC097F" w:rsidRPr="005B30C1" w:rsidRDefault="00FC097F" w:rsidP="00321E2E">
      <w:pPr>
        <w:pStyle w:val="21"/>
        <w:rPr>
          <w:lang w:val="el-GR"/>
        </w:rPr>
      </w:pPr>
      <w:bookmarkStart w:id="49" w:name="_Toc232171085"/>
      <w:bookmarkStart w:id="50" w:name="μεθοδολογία-αντιστάθμισης"/>
      <w:bookmarkEnd w:id="48"/>
      <w:r w:rsidRPr="005B30C1">
        <w:rPr>
          <w:rFonts w:eastAsia="Times New Roman"/>
          <w:lang w:val="el-GR"/>
        </w:rPr>
        <w:t>3.7 Μεθοδολογία αντιστάθμισης</w:t>
      </w:r>
      <w:bookmarkEnd w:id="49"/>
    </w:p>
    <w:p w14:paraId="44144065" w14:textId="77777777" w:rsidR="00FC097F" w:rsidRPr="00FC097F" w:rsidRDefault="00FC097F" w:rsidP="00FC097F">
      <w:pPr>
        <w:ind w:firstLine="357"/>
        <w:rPr>
          <w:lang w:val="el-GR"/>
        </w:rPr>
      </w:pPr>
      <w:r w:rsidRPr="005B30C1">
        <w:rPr>
          <w:lang w:val="el-GR"/>
        </w:rPr>
        <w:t xml:space="preserve">Η αντιστάθμιση εφαρμόζεται με τη χρήση του </w:t>
      </w:r>
      <w:r>
        <w:t>ES</w:t>
      </w:r>
      <w:r w:rsidRPr="005B30C1">
        <w:rPr>
          <w:lang w:val="el-GR"/>
        </w:rPr>
        <w:t xml:space="preserve"> </w:t>
      </w:r>
      <w:r>
        <w:t>futures</w:t>
      </w:r>
      <w:r w:rsidRPr="005B30C1">
        <w:rPr>
          <w:lang w:val="el-GR"/>
        </w:rPr>
        <w:t xml:space="preserve"> ως αντιπροσωπευτικού δείκτη της αγοράς. </w:t>
      </w:r>
      <w:r w:rsidRPr="00FC097F">
        <w:rPr>
          <w:lang w:val="el-GR"/>
        </w:rPr>
        <w:t>Ο λόγος αντιστάθμισης εκτιμάται δυναμικά μέσω της σχέσης: (</w:t>
      </w:r>
      <w:r>
        <w:t>Hull</w:t>
      </w:r>
      <w:r w:rsidRPr="00FC097F">
        <w:rPr>
          <w:lang w:val="el-GR"/>
        </w:rPr>
        <w:t>, 2018)</w:t>
      </w:r>
    </w:p>
    <w:p w14:paraId="57F7290C" w14:textId="2BC81AF4" w:rsidR="00FC097F" w:rsidRPr="00FC097F" w:rsidRDefault="00B06BF3" w:rsidP="00FC097F">
      <w:pPr>
        <w:pStyle w:val="af"/>
        <w:tabs>
          <w:tab w:val="right" w:leader="dot" w:pos="8504"/>
          <w:tab w:val="right" w:pos="9072"/>
        </w:tabs>
        <w:jc w:val="center"/>
        <w:rPr>
          <w:lang w:val="el-GR"/>
        </w:rPr>
      </w:pPr>
      <m:oMath>
        <m:sSub>
          <m:sSubPr>
            <m:ctrlPr>
              <w:rPr>
                <w:rFonts w:ascii="Cambria Math" w:hAnsi="Cambria Math"/>
              </w:rPr>
            </m:ctrlPr>
          </m:sSubPr>
          <m:e>
            <m:r>
              <w:rPr>
                <w:rFonts w:ascii="Cambria Math" w:hAnsi="Cambria Math"/>
                <w:lang w:val="el-GR"/>
              </w:rPr>
              <m:t>h</m:t>
            </m:r>
          </m:e>
          <m:sub>
            <m:r>
              <w:rPr>
                <w:rFonts w:ascii="Cambria Math" w:hAnsi="Cambria Math"/>
              </w:rPr>
              <m:t>t</m:t>
            </m:r>
          </m:sub>
        </m:sSub>
        <m:r>
          <m:rPr>
            <m:sty m:val="p"/>
          </m:rPr>
          <w:rPr>
            <w:rFonts w:ascii="Cambria Math" w:hAnsi="Cambria Math"/>
            <w:lang w:val="el-GR"/>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Cov</m:t>
                </m:r>
              </m:e>
              <m:sub>
                <m:r>
                  <w:rPr>
                    <w:rFonts w:ascii="Cambria Math" w:hAnsi="Cambria Math"/>
                  </w:rPr>
                  <m:t>t</m:t>
                </m:r>
              </m:sub>
            </m:sSub>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m:t>
                </m:r>
                <m:sSub>
                  <m:sSubPr>
                    <m:ctrlPr>
                      <w:rPr>
                        <w:rFonts w:ascii="Cambria Math" w:hAnsi="Cambria Math"/>
                      </w:rPr>
                    </m:ctrlPr>
                  </m:sSubPr>
                  <m:e>
                    <m:r>
                      <w:rPr>
                        <w:rFonts w:ascii="Cambria Math" w:hAnsi="Cambria Math"/>
                      </w:rPr>
                      <m:t>r</m:t>
                    </m:r>
                  </m:e>
                  <m:sub>
                    <m:r>
                      <w:rPr>
                        <w:rFonts w:ascii="Cambria Math" w:hAnsi="Cambria Math"/>
                      </w:rPr>
                      <m:t>f</m:t>
                    </m:r>
                    <m:r>
                      <m:rPr>
                        <m:sty m:val="p"/>
                      </m:rPr>
                      <w:rPr>
                        <w:rFonts w:ascii="Cambria Math" w:hAnsi="Cambria Math"/>
                        <w:lang w:val="el-GR"/>
                      </w:rPr>
                      <m:t>,</m:t>
                    </m:r>
                    <m:r>
                      <w:rPr>
                        <w:rFonts w:ascii="Cambria Math" w:hAnsi="Cambria Math"/>
                      </w:rPr>
                      <m:t>t</m:t>
                    </m:r>
                  </m:sub>
                </m:sSub>
              </m:e>
            </m:d>
          </m:num>
          <m:den>
            <m:sSub>
              <m:sSubPr>
                <m:ctrlPr>
                  <w:rPr>
                    <w:rFonts w:ascii="Cambria Math" w:hAnsi="Cambria Math"/>
                  </w:rPr>
                </m:ctrlPr>
              </m:sSubPr>
              <m:e>
                <m:r>
                  <m:rPr>
                    <m:sty m:val="p"/>
                  </m:rPr>
                  <w:rPr>
                    <w:rFonts w:ascii="Cambria Math" w:hAnsi="Cambria Math"/>
                  </w:rPr>
                  <m:t>Var</m:t>
                </m:r>
              </m:e>
              <m:sub>
                <m:r>
                  <w:rPr>
                    <w:rFonts w:ascii="Cambria Math" w:hAnsi="Cambria Math"/>
                  </w:rPr>
                  <m:t>t</m:t>
                </m:r>
              </m:sub>
            </m:sSub>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f</m:t>
                    </m:r>
                    <m:r>
                      <m:rPr>
                        <m:sty m:val="p"/>
                      </m:rPr>
                      <w:rPr>
                        <w:rFonts w:ascii="Cambria Math" w:hAnsi="Cambria Math"/>
                        <w:lang w:val="el-GR"/>
                      </w:rPr>
                      <m:t>,</m:t>
                    </m:r>
                    <m:r>
                      <w:rPr>
                        <w:rFonts w:ascii="Cambria Math" w:hAnsi="Cambria Math"/>
                      </w:rPr>
                      <m:t>t</m:t>
                    </m:r>
                  </m:sub>
                </m:sSub>
              </m:e>
            </m:d>
          </m:den>
        </m:f>
        <m:r>
          <w:rPr>
            <w:rFonts w:ascii="Cambria Math" w:hAnsi="Cambria Math"/>
            <w:lang w:val="el-GR"/>
          </w:rPr>
          <m:t xml:space="preserve"> </m:t>
        </m:r>
      </m:oMath>
      <w:r w:rsidR="00FC097F" w:rsidRPr="00FC097F">
        <w:rPr>
          <w:lang w:val="el-GR"/>
        </w:rPr>
        <w:t>(3.7)</w:t>
      </w:r>
    </w:p>
    <w:p w14:paraId="3FEEA0B4" w14:textId="77777777" w:rsidR="00FC097F" w:rsidRPr="00FC097F" w:rsidRDefault="00FC097F" w:rsidP="00FC097F">
      <w:pPr>
        <w:ind w:firstLine="357"/>
        <w:rPr>
          <w:lang w:val="el-GR"/>
        </w:rPr>
      </w:pPr>
      <w:r w:rsidRPr="005B30C1">
        <w:rPr>
          <w:lang w:val="el-GR"/>
        </w:rPr>
        <w:t xml:space="preserve">Στο αρχείο υπολογισμού χρησιμοποιείται εκθετική εξομάλυνση για τη </w:t>
      </w:r>
      <w:proofErr w:type="spellStart"/>
      <w:r w:rsidRPr="005B30C1">
        <w:rPr>
          <w:lang w:val="el-GR"/>
        </w:rPr>
        <w:t>συνδιακύμανση</w:t>
      </w:r>
      <w:proofErr w:type="spellEnd"/>
      <w:r w:rsidRPr="005B30C1">
        <w:rPr>
          <w:lang w:val="el-GR"/>
        </w:rPr>
        <w:t xml:space="preserve"> και τη διακύμανση, ώστε ο λόγος αντιστάθμισης να προσαρμόζεται στις μεταβαλλόμενες σχέσεις του χαρτοφυλακίου με την αγορά. </w:t>
      </w:r>
      <w:r w:rsidRPr="00FC097F">
        <w:rPr>
          <w:lang w:val="el-GR"/>
        </w:rPr>
        <w:t>Η αντισταθμισμένη ημερήσια απόδοση υπολογίζεται ως:</w:t>
      </w:r>
    </w:p>
    <w:p w14:paraId="4097F015" w14:textId="4FB91369" w:rsidR="00FC097F" w:rsidRPr="00FC097F" w:rsidRDefault="00B06BF3" w:rsidP="00FC097F">
      <w:pPr>
        <w:pStyle w:val="af"/>
        <w:tabs>
          <w:tab w:val="right" w:leader="dot" w:pos="8504"/>
          <w:tab w:val="right" w:pos="9072"/>
        </w:tabs>
        <w:jc w:val="center"/>
        <w:rPr>
          <w:lang w:val="el-GR"/>
        </w:rPr>
      </w:pPr>
      <m:oMath>
        <m:sSubSup>
          <m:sSubSupPr>
            <m:ctrlPr>
              <w:rPr>
                <w:rFonts w:ascii="Cambria Math" w:hAnsi="Cambria Math"/>
              </w:rPr>
            </m:ctrlPr>
          </m:sSubSup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sub>
          <m:sup>
            <m:r>
              <w:rPr>
                <w:rFonts w:ascii="Cambria Math" w:hAnsi="Cambria Math"/>
              </w:rPr>
              <m:t>H</m:t>
            </m:r>
          </m:sup>
        </m:sSubSup>
        <m:r>
          <m:rPr>
            <m:sty m:val="p"/>
          </m:rPr>
          <w:rPr>
            <w:rFonts w:ascii="Cambria Math" w:hAnsi="Cambria Math"/>
            <w:lang w:val="el-GR"/>
          </w:rPr>
          <m:t>=</m:t>
        </m:r>
        <m:sSub>
          <m:sSubPr>
            <m:ctrlPr>
              <w:rPr>
                <w:rFonts w:ascii="Cambria Math" w:hAnsi="Cambria Math"/>
              </w:rPr>
            </m:ctrlPr>
          </m:sSubPr>
          <m:e>
            <m:r>
              <w:rPr>
                <w:rFonts w:ascii="Cambria Math" w:hAnsi="Cambria Math"/>
              </w:rPr>
              <m:t>r</m:t>
            </m:r>
          </m:e>
          <m:sub>
            <m:r>
              <w:rPr>
                <w:rFonts w:ascii="Cambria Math" w:hAnsi="Cambria Math"/>
              </w:rPr>
              <m:t>p</m:t>
            </m:r>
            <m:r>
              <m:rPr>
                <m:sty m:val="p"/>
              </m:rPr>
              <w:rPr>
                <w:rFonts w:ascii="Cambria Math" w:hAnsi="Cambria Math"/>
                <w:lang w:val="el-GR"/>
              </w:rPr>
              <m:t>,</m:t>
            </m:r>
            <m:r>
              <w:rPr>
                <w:rFonts w:ascii="Cambria Math" w:hAnsi="Cambria Math"/>
              </w:rPr>
              <m:t>t</m:t>
            </m:r>
          </m:sub>
        </m:sSub>
        <m:r>
          <m:rPr>
            <m:sty m:val="p"/>
          </m:rPr>
          <w:rPr>
            <w:rFonts w:ascii="Cambria Math" w:hAnsi="Cambria Math"/>
            <w:lang w:val="el-GR"/>
          </w:rPr>
          <m:t>-</m:t>
        </m:r>
        <m:sSub>
          <m:sSubPr>
            <m:ctrlPr>
              <w:rPr>
                <w:rFonts w:ascii="Cambria Math" w:hAnsi="Cambria Math"/>
              </w:rPr>
            </m:ctrlPr>
          </m:sSubPr>
          <m:e>
            <m:r>
              <w:rPr>
                <w:rFonts w:ascii="Cambria Math" w:hAnsi="Cambria Math"/>
                <w:lang w:val="el-GR"/>
              </w:rPr>
              <m:t>h</m:t>
            </m:r>
          </m:e>
          <m:sub>
            <m:r>
              <w:rPr>
                <w:rFonts w:ascii="Cambria Math" w:hAnsi="Cambria Math"/>
              </w:rPr>
              <m:t>t</m:t>
            </m:r>
          </m:sub>
        </m:sSub>
        <m:sSub>
          <m:sSubPr>
            <m:ctrlPr>
              <w:rPr>
                <w:rFonts w:ascii="Cambria Math" w:hAnsi="Cambria Math"/>
              </w:rPr>
            </m:ctrlPr>
          </m:sSubPr>
          <m:e>
            <m:r>
              <w:rPr>
                <w:rFonts w:ascii="Cambria Math" w:hAnsi="Cambria Math"/>
              </w:rPr>
              <m:t>r</m:t>
            </m:r>
          </m:e>
          <m:sub>
            <m:r>
              <w:rPr>
                <w:rFonts w:ascii="Cambria Math" w:hAnsi="Cambria Math"/>
              </w:rPr>
              <m:t>f</m:t>
            </m:r>
            <m:r>
              <m:rPr>
                <m:sty m:val="p"/>
              </m:rPr>
              <w:rPr>
                <w:rFonts w:ascii="Cambria Math" w:hAnsi="Cambria Math"/>
                <w:lang w:val="el-GR"/>
              </w:rPr>
              <m:t>,</m:t>
            </m:r>
            <m:r>
              <w:rPr>
                <w:rFonts w:ascii="Cambria Math" w:hAnsi="Cambria Math"/>
              </w:rPr>
              <m:t>t</m:t>
            </m:r>
          </m:sub>
        </m:sSub>
        <m:r>
          <w:rPr>
            <w:rFonts w:ascii="Cambria Math" w:hAnsi="Cambria Math"/>
            <w:lang w:val="el-GR"/>
          </w:rPr>
          <m:t xml:space="preserve"> </m:t>
        </m:r>
      </m:oMath>
      <w:r w:rsidR="00FC097F" w:rsidRPr="00FC097F">
        <w:rPr>
          <w:lang w:val="el-GR"/>
        </w:rPr>
        <w:t>(3.8)</w:t>
      </w:r>
    </w:p>
    <w:p w14:paraId="1FE2358A" w14:textId="77777777" w:rsidR="00FC097F" w:rsidRPr="005B30C1" w:rsidRDefault="00FC097F" w:rsidP="00FC097F">
      <w:pPr>
        <w:ind w:firstLine="357"/>
        <w:rPr>
          <w:lang w:val="el-GR"/>
        </w:rPr>
      </w:pPr>
      <w:r w:rsidRPr="005B30C1">
        <w:rPr>
          <w:lang w:val="el-GR"/>
        </w:rPr>
        <w:t xml:space="preserve">Μετά τον υπολογισμό της αντισταθμισμένης απόδοσης, εφαρμόζονται ξανά οι μέθοδοι </w:t>
      </w:r>
      <w:r>
        <w:t>Historical</w:t>
      </w:r>
      <w:r w:rsidRPr="005B30C1">
        <w:rPr>
          <w:lang w:val="el-GR"/>
        </w:rPr>
        <w:t xml:space="preserve"> </w:t>
      </w:r>
      <w:proofErr w:type="spellStart"/>
      <w:r>
        <w:t>VaR</w:t>
      </w:r>
      <w:proofErr w:type="spellEnd"/>
      <w:r w:rsidRPr="005B30C1">
        <w:rPr>
          <w:lang w:val="el-GR"/>
        </w:rPr>
        <w:t xml:space="preserve"> και </w:t>
      </w:r>
      <w:r>
        <w:t>EWMA</w:t>
      </w:r>
      <w:r w:rsidRPr="005B30C1">
        <w:rPr>
          <w:lang w:val="el-GR"/>
        </w:rPr>
        <w:t xml:space="preserve"> </w:t>
      </w:r>
      <w:proofErr w:type="spellStart"/>
      <w:r>
        <w:t>VaR</w:t>
      </w:r>
      <w:proofErr w:type="spellEnd"/>
      <w:r w:rsidRPr="005B30C1">
        <w:rPr>
          <w:lang w:val="el-GR"/>
        </w:rPr>
        <w:t xml:space="preserve"> και ακολουθεί νέο </w:t>
      </w:r>
      <w:proofErr w:type="spellStart"/>
      <w:r>
        <w:t>backtesting</w:t>
      </w:r>
      <w:proofErr w:type="spellEnd"/>
      <w:r w:rsidRPr="005B30C1">
        <w:rPr>
          <w:lang w:val="el-GR"/>
        </w:rPr>
        <w:t xml:space="preserve">. Έτσι, η εργασία δεν εξετάζει μόνο αν η αντιστάθμιση μειώνει τη μεταβλητότητα, αλλά και αν βελτιώνει τη στατιστική αξιοπιστία των υποδειγμάτων </w:t>
      </w:r>
      <w:proofErr w:type="spellStart"/>
      <w:r>
        <w:t>VaR</w:t>
      </w:r>
      <w:proofErr w:type="spellEnd"/>
      <w:r w:rsidRPr="005B30C1">
        <w:rPr>
          <w:lang w:val="el-GR"/>
        </w:rPr>
        <w:t>.</w:t>
      </w:r>
    </w:p>
    <w:p w14:paraId="442CB5CA" w14:textId="77777777" w:rsidR="00FC097F" w:rsidRPr="005B30C1" w:rsidRDefault="00FC097F" w:rsidP="00321E2E">
      <w:pPr>
        <w:pStyle w:val="21"/>
        <w:rPr>
          <w:lang w:val="el-GR"/>
        </w:rPr>
      </w:pPr>
      <w:bookmarkStart w:id="51" w:name="_Toc232171086"/>
      <w:bookmarkStart w:id="52" w:name="μεθοδολογικοί-περιορισμοί"/>
      <w:bookmarkEnd w:id="50"/>
      <w:r w:rsidRPr="005B30C1">
        <w:rPr>
          <w:rFonts w:eastAsia="Times New Roman"/>
          <w:lang w:val="el-GR"/>
        </w:rPr>
        <w:t>3.8 Μεθοδολογικοί περιορισμοί</w:t>
      </w:r>
      <w:bookmarkEnd w:id="51"/>
    </w:p>
    <w:p w14:paraId="0246EB3E" w14:textId="77777777" w:rsidR="00FC097F" w:rsidRPr="005B30C1" w:rsidRDefault="00FC097F" w:rsidP="00FC097F">
      <w:pPr>
        <w:ind w:firstLine="357"/>
        <w:rPr>
          <w:lang w:val="el-GR"/>
        </w:rPr>
      </w:pPr>
      <w:r w:rsidRPr="005B30C1">
        <w:rPr>
          <w:lang w:val="el-GR"/>
        </w:rPr>
        <w:t xml:space="preserve">Η μεθοδολογία της εργασίας είναι διαφανής και εφαρμόσιμη σε περιβάλλον </w:t>
      </w:r>
      <w:r>
        <w:t>Excel</w:t>
      </w:r>
      <w:r w:rsidRPr="005B30C1">
        <w:rPr>
          <w:lang w:val="el-GR"/>
        </w:rPr>
        <w:t xml:space="preserve">, όμως συνοδεύεται από περιορισμούς. Πρώτον, το χαρτοφυλάκιο περιλαμβάνει μόνο τρεις μετοχές και επομένως δεν μπορεί να θεωρηθεί πλήρως αντιπροσωπευτικό ενός μεγάλου θεσμικού χαρτοφυλακίου. Δεύτερον, η ίση στάθμιση απλοποιεί την ανάλυση, αλλά δεν αντιστοιχεί απαραίτητα στη βέλτιστη κατανομή κεφαλαίου. Τρίτον, η </w:t>
      </w:r>
      <w:proofErr w:type="spellStart"/>
      <w:r>
        <w:t>VaR</w:t>
      </w:r>
      <w:proofErr w:type="spellEnd"/>
      <w:r w:rsidRPr="005B30C1">
        <w:rPr>
          <w:lang w:val="el-GR"/>
        </w:rPr>
        <w:t xml:space="preserve"> μετρά ένα </w:t>
      </w:r>
      <w:proofErr w:type="spellStart"/>
      <w:r w:rsidRPr="005B30C1">
        <w:rPr>
          <w:lang w:val="el-GR"/>
        </w:rPr>
        <w:t>ποσοστημόριο</w:t>
      </w:r>
      <w:proofErr w:type="spellEnd"/>
      <w:r w:rsidRPr="005B30C1">
        <w:rPr>
          <w:lang w:val="el-GR"/>
        </w:rPr>
        <w:t xml:space="preserve"> της κατανομής και όχι τη μέση ζημία πέρα από το </w:t>
      </w:r>
      <w:proofErr w:type="spellStart"/>
      <w:r w:rsidRPr="005B30C1">
        <w:rPr>
          <w:lang w:val="el-GR"/>
        </w:rPr>
        <w:t>ποσοστημόριο</w:t>
      </w:r>
      <w:proofErr w:type="spellEnd"/>
      <w:r w:rsidRPr="005B30C1">
        <w:rPr>
          <w:lang w:val="el-GR"/>
        </w:rPr>
        <w:t xml:space="preserve"> αυτό.</w:t>
      </w:r>
    </w:p>
    <w:p w14:paraId="75BB495D" w14:textId="77777777" w:rsidR="00FC097F" w:rsidRPr="005B30C1" w:rsidRDefault="00FC097F" w:rsidP="00FC097F">
      <w:pPr>
        <w:pStyle w:val="af"/>
        <w:rPr>
          <w:lang w:val="el-GR"/>
        </w:rPr>
      </w:pPr>
      <w:r w:rsidRPr="005B30C1">
        <w:rPr>
          <w:lang w:val="el-GR"/>
        </w:rPr>
        <w:t xml:space="preserve">Επιπλέον, η εφαρμογή αντιστάθμισης δεν ενσωματώνει κόστη συναλλαγών, απαιτήσεις περιθωρίου ασφάλισης, φορολογικές επιπτώσεις, διαφορές ρευστότητας ή συναλλαγματικό κίνδυνο. Το </w:t>
      </w:r>
      <w:r>
        <w:t>futures</w:t>
      </w:r>
      <w:r w:rsidRPr="005B30C1">
        <w:rPr>
          <w:lang w:val="el-GR"/>
        </w:rPr>
        <w:t xml:space="preserve"> χρησιμοποιείται ως ευρύς δείκτης της αγοράς και όχι ως τέλειο υποκατάστατο των τριών μετοχών. Συνεπώς, υπάρχει </w:t>
      </w:r>
      <w:r>
        <w:t>basis</w:t>
      </w:r>
      <w:r w:rsidRPr="005B30C1">
        <w:rPr>
          <w:lang w:val="el-GR"/>
        </w:rPr>
        <w:t xml:space="preserve"> </w:t>
      </w:r>
      <w:r>
        <w:t>risk</w:t>
      </w:r>
      <w:r w:rsidRPr="005B30C1">
        <w:rPr>
          <w:lang w:val="el-GR"/>
        </w:rPr>
        <w:t xml:space="preserve">, δηλαδή ο κίνδυνος η θέση </w:t>
      </w:r>
      <w:r w:rsidRPr="005B30C1">
        <w:rPr>
          <w:lang w:val="el-GR"/>
        </w:rPr>
        <w:lastRenderedPageBreak/>
        <w:t>αντιστάθμισης να μην κινείται απόλυτα παράλληλα με το χαρτοφυλάκιο. Παρά τους περιορισμούς αυτούς, η μεθοδολογία είναι κατάλληλη για τον σκοπό της εργασίας, διότι δείχνει με σαφήνεια πώς υπολογίζεται, αξιολογείται και ερμηνεύεται ο κίνδυνος αγοράς.</w:t>
      </w:r>
    </w:p>
    <w:p w14:paraId="2CFA7C8F" w14:textId="77777777" w:rsidR="00FC097F" w:rsidRPr="005B30C1" w:rsidRDefault="00FC097F" w:rsidP="00321E2E">
      <w:pPr>
        <w:pStyle w:val="21"/>
        <w:rPr>
          <w:lang w:val="el-GR"/>
        </w:rPr>
      </w:pPr>
      <w:bookmarkStart w:id="53" w:name="_Toc232171087"/>
      <w:bookmarkStart w:id="54" w:name="X26741af052850ab1fefa6d2169a5acceebc2cb4"/>
      <w:bookmarkEnd w:id="52"/>
      <w:r w:rsidRPr="005B30C1">
        <w:rPr>
          <w:rFonts w:eastAsia="Times New Roman"/>
          <w:lang w:val="el-GR"/>
        </w:rPr>
        <w:t xml:space="preserve">3.9 </w:t>
      </w:r>
      <w:proofErr w:type="spellStart"/>
      <w:r w:rsidRPr="005B30C1">
        <w:rPr>
          <w:rFonts w:eastAsia="Times New Roman"/>
          <w:lang w:val="el-GR"/>
        </w:rPr>
        <w:t>Αναπαραγωγιμότητα</w:t>
      </w:r>
      <w:proofErr w:type="spellEnd"/>
      <w:r w:rsidRPr="005B30C1">
        <w:rPr>
          <w:rFonts w:eastAsia="Times New Roman"/>
          <w:lang w:val="el-GR"/>
        </w:rPr>
        <w:t xml:space="preserve"> και υλοποίηση στο </w:t>
      </w:r>
      <w:r>
        <w:rPr>
          <w:rFonts w:eastAsia="Times New Roman"/>
        </w:rPr>
        <w:t>Excel</w:t>
      </w:r>
      <w:bookmarkEnd w:id="53"/>
    </w:p>
    <w:p w14:paraId="2089499A" w14:textId="77777777" w:rsidR="00FC097F" w:rsidRPr="005B30C1" w:rsidRDefault="00FC097F" w:rsidP="00FC097F">
      <w:pPr>
        <w:ind w:firstLine="357"/>
        <w:rPr>
          <w:lang w:val="el-GR"/>
        </w:rPr>
      </w:pPr>
      <w:r w:rsidRPr="005B30C1">
        <w:rPr>
          <w:lang w:val="el-GR"/>
        </w:rPr>
        <w:t xml:space="preserve">Η εμπειρική ανάλυση υλοποιείται σε </w:t>
      </w:r>
      <w:r>
        <w:t>Excel</w:t>
      </w:r>
      <w:r w:rsidRPr="005B30C1">
        <w:rPr>
          <w:lang w:val="el-GR"/>
        </w:rPr>
        <w:t xml:space="preserve">, ώστε οι υπολογισμοί να είναι πλήρως ελέγξιμοι και </w:t>
      </w:r>
      <w:proofErr w:type="spellStart"/>
      <w:r w:rsidRPr="005B30C1">
        <w:rPr>
          <w:lang w:val="el-GR"/>
        </w:rPr>
        <w:t>αναπαραγώγιμοι</w:t>
      </w:r>
      <w:proofErr w:type="spellEnd"/>
      <w:r w:rsidRPr="005B30C1">
        <w:rPr>
          <w:lang w:val="el-GR"/>
        </w:rPr>
        <w:t xml:space="preserve">. Η επιλογή αυτή είναι σημαντική για εκπαιδευτικούς και μεθοδολογικούς λόγους. Αντί να χρησιμοποιηθεί ένα στατιστικό πακέτο που αποκρύπτει μέρος της διαδικασίας, οι τύποι αναπτύσσονται σε διακριτές στήλες: τιμές, αποδόσεις, αποδόσεις χαρτοφυλακίου, ιστορικά </w:t>
      </w:r>
      <w:proofErr w:type="spellStart"/>
      <w:r w:rsidRPr="005B30C1">
        <w:rPr>
          <w:lang w:val="el-GR"/>
        </w:rPr>
        <w:t>ποσοστημόρια</w:t>
      </w:r>
      <w:proofErr w:type="spellEnd"/>
      <w:r w:rsidRPr="005B30C1">
        <w:rPr>
          <w:lang w:val="el-GR"/>
        </w:rPr>
        <w:t xml:space="preserve">, </w:t>
      </w:r>
      <w:r>
        <w:t>EWMA</w:t>
      </w:r>
      <w:r w:rsidRPr="005B30C1">
        <w:rPr>
          <w:lang w:val="el-GR"/>
        </w:rPr>
        <w:t xml:space="preserve"> διακύμανση, </w:t>
      </w:r>
      <w:proofErr w:type="spellStart"/>
      <w:r>
        <w:t>VaR</w:t>
      </w:r>
      <w:proofErr w:type="spellEnd"/>
      <w:r w:rsidRPr="005B30C1">
        <w:rPr>
          <w:lang w:val="el-GR"/>
        </w:rPr>
        <w:t>, εξαιρέσεις και στατιστικοί έλεγχοι. Με αυτόν τον τρόπο είναι δυνατός ο έλεγχος κάθε βήματος.</w:t>
      </w:r>
    </w:p>
    <w:p w14:paraId="4DD94FA4" w14:textId="77777777" w:rsidR="00FC097F" w:rsidRPr="005B30C1" w:rsidRDefault="00FC097F" w:rsidP="00FC097F">
      <w:pPr>
        <w:pStyle w:val="af"/>
        <w:rPr>
          <w:lang w:val="el-GR"/>
        </w:rPr>
      </w:pPr>
      <w:r w:rsidRPr="005B30C1">
        <w:rPr>
          <w:lang w:val="el-GR"/>
        </w:rPr>
        <w:t xml:space="preserve">Η διαδικασία </w:t>
      </w:r>
      <w:proofErr w:type="spellStart"/>
      <w:r>
        <w:t>backtesting</w:t>
      </w:r>
      <w:proofErr w:type="spellEnd"/>
      <w:r w:rsidRPr="005B30C1">
        <w:rPr>
          <w:lang w:val="el-GR"/>
        </w:rPr>
        <w:t xml:space="preserve"> υλοποιείται με δυαδική μεταβλητή εξαίρεσης. Για κάθε ημέρα, ελέγχεται αν η πραγματική απόδοση είναι μικρότερη από το αρνητικό της εκτιμώμενης </w:t>
      </w:r>
      <w:proofErr w:type="spellStart"/>
      <w:r>
        <w:t>VaR</w:t>
      </w:r>
      <w:proofErr w:type="spellEnd"/>
      <w:r w:rsidRPr="005B30C1">
        <w:rPr>
          <w:lang w:val="el-GR"/>
        </w:rPr>
        <w:t xml:space="preserve">. Αν ναι, η μεταβλητή λαμβάνει τιμή 1, διαφορετικά τιμή 0. Το άθροισμα αυτής της στήλης δίνει τον αριθμό παραβιάσεων. Στη συνέχεια, με βάση τον αριθμό παραβιάσεων, τον αριθμό παρατηρήσεων και την αναμενόμενη πιθανότητα 1%, υπολογίζεται η στατιστική </w:t>
      </w:r>
      <w:r>
        <w:t>Kupiec</w:t>
      </w:r>
      <w:r w:rsidRPr="005B30C1">
        <w:rPr>
          <w:lang w:val="el-GR"/>
        </w:rPr>
        <w:t>. Η ίδια διαδικασία εφαρμόζεται τόσο στο αρχικό όσο και στο αντισταθμισμένο χαρτοφυλάκιο, ώστε η σύγκριση να είναι συνεπής.</w:t>
      </w:r>
    </w:p>
    <w:p w14:paraId="24D13759" w14:textId="77777777" w:rsidR="00FC097F" w:rsidRPr="005B30C1" w:rsidRDefault="00FC097F" w:rsidP="00FC097F">
      <w:pPr>
        <w:pStyle w:val="af"/>
        <w:rPr>
          <w:lang w:val="el-GR"/>
        </w:rPr>
      </w:pPr>
      <w:r w:rsidRPr="005B30C1">
        <w:rPr>
          <w:lang w:val="el-GR"/>
        </w:rPr>
        <w:t xml:space="preserve">Για την αντιστάθμιση, το </w:t>
      </w:r>
      <w:r>
        <w:t>Excel</w:t>
      </w:r>
      <w:r w:rsidRPr="005B30C1">
        <w:rPr>
          <w:lang w:val="el-GR"/>
        </w:rPr>
        <w:t xml:space="preserve"> υπολογίζει δυναμικό λόγο αντιστάθμισης με βάση τη σχέση </w:t>
      </w:r>
      <w:proofErr w:type="spellStart"/>
      <w:r w:rsidRPr="005B30C1">
        <w:rPr>
          <w:lang w:val="el-GR"/>
        </w:rPr>
        <w:t>συνδιακύμανσης</w:t>
      </w:r>
      <w:proofErr w:type="spellEnd"/>
      <w:r w:rsidRPr="005B30C1">
        <w:rPr>
          <w:lang w:val="el-GR"/>
        </w:rPr>
        <w:t xml:space="preserve"> χαρτοφυλακίου και </w:t>
      </w:r>
      <w:r>
        <w:t>futures</w:t>
      </w:r>
      <w:r w:rsidRPr="005B30C1">
        <w:rPr>
          <w:lang w:val="el-GR"/>
        </w:rPr>
        <w:t xml:space="preserve"> προς διακύμανση </w:t>
      </w:r>
      <w:r>
        <w:t>futures</w:t>
      </w:r>
      <w:r w:rsidRPr="005B30C1">
        <w:rPr>
          <w:lang w:val="el-GR"/>
        </w:rPr>
        <w:t xml:space="preserve">. Στη συνέχεια υπολογίζεται η αντισταθμισμένη απόδοση και επαναλαμβάνονται οι υπολογισμοί </w:t>
      </w:r>
      <w:proofErr w:type="spellStart"/>
      <w:r>
        <w:t>VaR</w:t>
      </w:r>
      <w:proofErr w:type="spellEnd"/>
      <w:r w:rsidRPr="005B30C1">
        <w:rPr>
          <w:lang w:val="el-GR"/>
        </w:rPr>
        <w:t xml:space="preserve"> και </w:t>
      </w:r>
      <w:proofErr w:type="spellStart"/>
      <w:r>
        <w:t>backtesting</w:t>
      </w:r>
      <w:proofErr w:type="spellEnd"/>
      <w:r w:rsidRPr="005B30C1">
        <w:rPr>
          <w:lang w:val="el-GR"/>
        </w:rPr>
        <w:t xml:space="preserve">. Η υλοποίηση αυτή δείχνει πρακτικά ότι η αντιστάθμιση δεν αξιολογείται θεωρητικά, αλλά με βάση το αν βελτιώνει τα μετρήσιμα χαρακτηριστικά κινδύνου: τη μεταβλητότητα, τη </w:t>
      </w:r>
      <w:proofErr w:type="spellStart"/>
      <w:r>
        <w:t>VaR</w:t>
      </w:r>
      <w:proofErr w:type="spellEnd"/>
      <w:r w:rsidRPr="005B30C1">
        <w:rPr>
          <w:lang w:val="el-GR"/>
        </w:rPr>
        <w:t xml:space="preserve">, τον αριθμό εξαιρέσεων και τα </w:t>
      </w:r>
      <w:r>
        <w:t>p</w:t>
      </w:r>
      <w:r w:rsidRPr="005B30C1">
        <w:rPr>
          <w:lang w:val="el-GR"/>
        </w:rPr>
        <w:t>-</w:t>
      </w:r>
      <w:r>
        <w:t>values</w:t>
      </w:r>
      <w:r w:rsidRPr="005B30C1">
        <w:rPr>
          <w:lang w:val="el-GR"/>
        </w:rPr>
        <w:t xml:space="preserve"> των ελέγχων.</w:t>
      </w:r>
    </w:p>
    <w:p w14:paraId="094512F9" w14:textId="77777777" w:rsidR="00FC097F" w:rsidRPr="005B30C1" w:rsidRDefault="00FC097F" w:rsidP="002455D5">
      <w:pPr>
        <w:pStyle w:val="1"/>
        <w:rPr>
          <w:lang w:val="el-GR"/>
        </w:rPr>
      </w:pPr>
      <w:bookmarkStart w:id="55" w:name="_Toc232171088"/>
      <w:bookmarkStart w:id="56" w:name="κεφάλαιο-4-εμπειρικά-αποτελέσματα"/>
      <w:bookmarkEnd w:id="36"/>
      <w:bookmarkEnd w:id="54"/>
      <w:r w:rsidRPr="005B30C1">
        <w:rPr>
          <w:rFonts w:eastAsia="Times New Roman"/>
          <w:lang w:val="el-GR"/>
        </w:rPr>
        <w:t>Κεφάλαιο 4: Εμπειρικά Αποτελέσματα</w:t>
      </w:r>
      <w:bookmarkEnd w:id="55"/>
    </w:p>
    <w:p w14:paraId="39F5926E" w14:textId="77777777" w:rsidR="00FC097F" w:rsidRPr="005B30C1" w:rsidRDefault="00FC097F" w:rsidP="00321E2E">
      <w:pPr>
        <w:pStyle w:val="21"/>
        <w:rPr>
          <w:lang w:val="el-GR"/>
        </w:rPr>
      </w:pPr>
      <w:bookmarkStart w:id="57" w:name="_Toc232171089"/>
      <w:bookmarkStart w:id="58" w:name="περιγραφική-εικόνα-των-αποδόσεων"/>
      <w:r w:rsidRPr="005B30C1">
        <w:rPr>
          <w:rFonts w:eastAsia="Times New Roman"/>
          <w:lang w:val="el-GR"/>
        </w:rPr>
        <w:t>4.1 Περιγραφική εικόνα των αποδόσεων</w:t>
      </w:r>
      <w:bookmarkEnd w:id="57"/>
    </w:p>
    <w:p w14:paraId="1CFF53BD" w14:textId="77777777" w:rsidR="00FC097F" w:rsidRPr="005B30C1" w:rsidRDefault="00FC097F" w:rsidP="00FC097F">
      <w:pPr>
        <w:ind w:firstLine="357"/>
        <w:rPr>
          <w:lang w:val="el-GR"/>
        </w:rPr>
      </w:pPr>
      <w:r w:rsidRPr="005B30C1">
        <w:rPr>
          <w:lang w:val="el-GR"/>
        </w:rPr>
        <w:t xml:space="preserve">Το κεφάλαιο αυτό παρουσιάζει τα εμπειρικά αποτελέσματα που προκύπτουν από την εφαρμογή των μεθόδων </w:t>
      </w:r>
      <w:r>
        <w:t>Historical</w:t>
      </w:r>
      <w:r w:rsidRPr="005B30C1">
        <w:rPr>
          <w:lang w:val="el-GR"/>
        </w:rPr>
        <w:t xml:space="preserve"> </w:t>
      </w:r>
      <w:proofErr w:type="spellStart"/>
      <w:r>
        <w:t>VaR</w:t>
      </w:r>
      <w:proofErr w:type="spellEnd"/>
      <w:r w:rsidRPr="005B30C1">
        <w:rPr>
          <w:lang w:val="el-GR"/>
        </w:rPr>
        <w:t xml:space="preserve"> και </w:t>
      </w:r>
      <w:r>
        <w:t>EWMA</w:t>
      </w:r>
      <w:r w:rsidRPr="005B30C1">
        <w:rPr>
          <w:lang w:val="el-GR"/>
        </w:rPr>
        <w:t xml:space="preserve"> </w:t>
      </w:r>
      <w:proofErr w:type="spellStart"/>
      <w:r>
        <w:t>VaR</w:t>
      </w:r>
      <w:proofErr w:type="spellEnd"/>
      <w:r w:rsidRPr="005B30C1">
        <w:rPr>
          <w:lang w:val="el-GR"/>
        </w:rPr>
        <w:t xml:space="preserve"> στο χαρτοφυλάκιο των τριών μετοχών. Η ανάλυση ξεκινά με την περιγραφική στατιστική των ημερήσιων λογαριθμικών αποδόσεων, </w:t>
      </w:r>
      <w:r w:rsidRPr="005B30C1">
        <w:rPr>
          <w:lang w:val="el-GR"/>
        </w:rPr>
        <w:lastRenderedPageBreak/>
        <w:t xml:space="preserve">ώστε να γίνει κατανοητό το προφίλ κινδύνου των επιμέρους τίτλων, του συνολικού χαρτοφυλακίου και του </w:t>
      </w:r>
      <w:r>
        <w:t>futures</w:t>
      </w:r>
      <w:r w:rsidRPr="005B30C1">
        <w:rPr>
          <w:lang w:val="el-GR"/>
        </w:rPr>
        <w:t xml:space="preserve"> που χρησιμοποιείται στην αντιστάθμιση. Όλες οι αποδόσεις υπολογίζονται με τη φορά της τρέχουσας τιμής προς την προηγούμενη τιμή, ώστε οι παρατηρήσεις να αντιστοιχούν στη σωστή χρονική εξέλιξη των τιμών.</w:t>
      </w:r>
    </w:p>
    <w:p w14:paraId="0A3C41F8" w14:textId="77777777" w:rsidR="00FC097F" w:rsidRDefault="00FC097F" w:rsidP="00FC097F">
      <w:pPr>
        <w:pStyle w:val="af3"/>
        <w:keepNext/>
        <w:spacing w:after="60"/>
        <w:jc w:val="center"/>
      </w:pPr>
      <w:proofErr w:type="spellStart"/>
      <w:r>
        <w:t>Πίν</w:t>
      </w:r>
      <w:proofErr w:type="spellEnd"/>
      <w:r>
        <w:t xml:space="preserve">ακας 4.1: </w:t>
      </w:r>
      <w:proofErr w:type="spellStart"/>
      <w:r>
        <w:t>Περιγρ</w:t>
      </w:r>
      <w:proofErr w:type="spellEnd"/>
      <w:r>
        <w:t xml:space="preserve">αφική </w:t>
      </w:r>
      <w:proofErr w:type="spellStart"/>
      <w:r>
        <w:t>στ</w:t>
      </w:r>
      <w:proofErr w:type="spellEnd"/>
      <w:r>
        <w:t xml:space="preserve">ατιστική </w:t>
      </w:r>
      <w:proofErr w:type="spellStart"/>
      <w:r>
        <w:t>ημερήσιων</w:t>
      </w:r>
      <w:proofErr w:type="spellEnd"/>
      <w:r>
        <w:t xml:space="preserve"> απ</w:t>
      </w:r>
      <w:proofErr w:type="spellStart"/>
      <w:r>
        <w:t>οδόσεων</w:t>
      </w:r>
      <w:proofErr w:type="spellEnd"/>
    </w:p>
    <w:tbl>
      <w:tblPr>
        <w:tblStyle w:val="afa"/>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20"/>
        <w:gridCol w:w="1520"/>
        <w:gridCol w:w="1518"/>
        <w:gridCol w:w="1518"/>
        <w:gridCol w:w="1518"/>
        <w:gridCol w:w="1518"/>
      </w:tblGrid>
      <w:tr w:rsidR="00FC097F" w14:paraId="6099E0CA" w14:textId="77777777" w:rsidTr="000951C1">
        <w:trPr>
          <w:cantSplit/>
          <w:tblHeader/>
          <w:jc w:val="center"/>
        </w:trPr>
        <w:tc>
          <w:tcPr>
            <w:tcW w:w="1520" w:type="dxa"/>
            <w:shd w:val="clear" w:color="auto" w:fill="D9EAF7"/>
            <w:vAlign w:val="center"/>
          </w:tcPr>
          <w:p w14:paraId="44BB856F" w14:textId="77777777" w:rsidR="00FC097F" w:rsidRDefault="00FC097F" w:rsidP="000951C1">
            <w:pPr>
              <w:jc w:val="center"/>
            </w:pPr>
            <w:proofErr w:type="spellStart"/>
            <w:r>
              <w:rPr>
                <w:b/>
                <w:sz w:val="18"/>
              </w:rPr>
              <w:t>Μετ</w:t>
            </w:r>
            <w:proofErr w:type="spellEnd"/>
            <w:r>
              <w:rPr>
                <w:b/>
                <w:sz w:val="18"/>
              </w:rPr>
              <w:t>αβλητή</w:t>
            </w:r>
          </w:p>
        </w:tc>
        <w:tc>
          <w:tcPr>
            <w:tcW w:w="1520" w:type="dxa"/>
            <w:shd w:val="clear" w:color="auto" w:fill="D9EAF7"/>
            <w:vAlign w:val="center"/>
          </w:tcPr>
          <w:p w14:paraId="68FAD1F5" w14:textId="77777777" w:rsidR="00FC097F" w:rsidRDefault="00FC097F" w:rsidP="000951C1">
            <w:pPr>
              <w:jc w:val="center"/>
            </w:pPr>
            <w:r>
              <w:rPr>
                <w:b/>
                <w:sz w:val="18"/>
              </w:rPr>
              <w:t>Παρα</w:t>
            </w:r>
            <w:proofErr w:type="spellStart"/>
            <w:r>
              <w:rPr>
                <w:b/>
                <w:sz w:val="18"/>
              </w:rPr>
              <w:t>τηρήσεις</w:t>
            </w:r>
            <w:proofErr w:type="spellEnd"/>
          </w:p>
        </w:tc>
        <w:tc>
          <w:tcPr>
            <w:tcW w:w="1520" w:type="dxa"/>
            <w:shd w:val="clear" w:color="auto" w:fill="D9EAF7"/>
            <w:vAlign w:val="center"/>
          </w:tcPr>
          <w:p w14:paraId="79558DA6" w14:textId="77777777" w:rsidR="00FC097F" w:rsidRDefault="00FC097F" w:rsidP="000951C1">
            <w:pPr>
              <w:jc w:val="center"/>
            </w:pPr>
            <w:proofErr w:type="spellStart"/>
            <w:r>
              <w:rPr>
                <w:b/>
                <w:sz w:val="18"/>
              </w:rPr>
              <w:t>Μέση</w:t>
            </w:r>
            <w:proofErr w:type="spellEnd"/>
            <w:r>
              <w:rPr>
                <w:b/>
                <w:sz w:val="18"/>
              </w:rPr>
              <w:t xml:space="preserve"> </w:t>
            </w:r>
            <w:proofErr w:type="spellStart"/>
            <w:r>
              <w:rPr>
                <w:b/>
                <w:sz w:val="18"/>
              </w:rPr>
              <w:t>ημερήσι</w:t>
            </w:r>
            <w:proofErr w:type="spellEnd"/>
            <w:r>
              <w:rPr>
                <w:b/>
                <w:sz w:val="18"/>
              </w:rPr>
              <w:t>α απ</w:t>
            </w:r>
            <w:proofErr w:type="spellStart"/>
            <w:r>
              <w:rPr>
                <w:b/>
                <w:sz w:val="18"/>
              </w:rPr>
              <w:t>όδοση</w:t>
            </w:r>
            <w:proofErr w:type="spellEnd"/>
          </w:p>
        </w:tc>
        <w:tc>
          <w:tcPr>
            <w:tcW w:w="1520" w:type="dxa"/>
            <w:shd w:val="clear" w:color="auto" w:fill="D9EAF7"/>
            <w:vAlign w:val="center"/>
          </w:tcPr>
          <w:p w14:paraId="62281DDA" w14:textId="77777777" w:rsidR="00FC097F" w:rsidRDefault="00FC097F" w:rsidP="000951C1">
            <w:pPr>
              <w:jc w:val="center"/>
            </w:pPr>
            <w:proofErr w:type="spellStart"/>
            <w:r>
              <w:rPr>
                <w:b/>
                <w:sz w:val="18"/>
              </w:rPr>
              <w:t>Τυ</w:t>
            </w:r>
            <w:proofErr w:type="spellEnd"/>
            <w:r>
              <w:rPr>
                <w:b/>
                <w:sz w:val="18"/>
              </w:rPr>
              <w:t>πική απ</w:t>
            </w:r>
            <w:proofErr w:type="spellStart"/>
            <w:r>
              <w:rPr>
                <w:b/>
                <w:sz w:val="18"/>
              </w:rPr>
              <w:t>όκλιση</w:t>
            </w:r>
            <w:proofErr w:type="spellEnd"/>
          </w:p>
        </w:tc>
        <w:tc>
          <w:tcPr>
            <w:tcW w:w="1520" w:type="dxa"/>
            <w:shd w:val="clear" w:color="auto" w:fill="D9EAF7"/>
            <w:vAlign w:val="center"/>
          </w:tcPr>
          <w:p w14:paraId="380E1A79" w14:textId="77777777" w:rsidR="00FC097F" w:rsidRDefault="00FC097F" w:rsidP="000951C1">
            <w:pPr>
              <w:jc w:val="center"/>
            </w:pPr>
            <w:proofErr w:type="spellStart"/>
            <w:r>
              <w:rPr>
                <w:b/>
                <w:sz w:val="18"/>
              </w:rPr>
              <w:t>Ελάχιστη</w:t>
            </w:r>
            <w:proofErr w:type="spellEnd"/>
            <w:r>
              <w:rPr>
                <w:b/>
                <w:sz w:val="18"/>
              </w:rPr>
              <w:t xml:space="preserve"> απ</w:t>
            </w:r>
            <w:proofErr w:type="spellStart"/>
            <w:r>
              <w:rPr>
                <w:b/>
                <w:sz w:val="18"/>
              </w:rPr>
              <w:t>όδοση</w:t>
            </w:r>
            <w:proofErr w:type="spellEnd"/>
          </w:p>
        </w:tc>
        <w:tc>
          <w:tcPr>
            <w:tcW w:w="1520" w:type="dxa"/>
            <w:shd w:val="clear" w:color="auto" w:fill="D9EAF7"/>
            <w:vAlign w:val="center"/>
          </w:tcPr>
          <w:p w14:paraId="101A6B7A" w14:textId="77777777" w:rsidR="00FC097F" w:rsidRDefault="00FC097F" w:rsidP="000951C1">
            <w:pPr>
              <w:jc w:val="center"/>
            </w:pPr>
            <w:proofErr w:type="spellStart"/>
            <w:r>
              <w:rPr>
                <w:b/>
                <w:sz w:val="18"/>
              </w:rPr>
              <w:t>Μέγιστη</w:t>
            </w:r>
            <w:proofErr w:type="spellEnd"/>
            <w:r>
              <w:rPr>
                <w:b/>
                <w:sz w:val="18"/>
              </w:rPr>
              <w:t xml:space="preserve"> απ</w:t>
            </w:r>
            <w:proofErr w:type="spellStart"/>
            <w:r>
              <w:rPr>
                <w:b/>
                <w:sz w:val="18"/>
              </w:rPr>
              <w:t>όδοση</w:t>
            </w:r>
            <w:proofErr w:type="spellEnd"/>
          </w:p>
        </w:tc>
      </w:tr>
      <w:tr w:rsidR="00FC097F" w14:paraId="47FA1E10" w14:textId="77777777" w:rsidTr="000951C1">
        <w:trPr>
          <w:cantSplit/>
          <w:jc w:val="center"/>
        </w:trPr>
        <w:tc>
          <w:tcPr>
            <w:tcW w:w="1520" w:type="dxa"/>
            <w:vAlign w:val="center"/>
          </w:tcPr>
          <w:p w14:paraId="0A518B70" w14:textId="77777777" w:rsidR="00FC097F" w:rsidRDefault="00FC097F" w:rsidP="000951C1">
            <w:pPr>
              <w:jc w:val="center"/>
            </w:pPr>
            <w:r>
              <w:rPr>
                <w:sz w:val="18"/>
              </w:rPr>
              <w:t>Coca-Cola (KO)</w:t>
            </w:r>
          </w:p>
        </w:tc>
        <w:tc>
          <w:tcPr>
            <w:tcW w:w="1520" w:type="dxa"/>
            <w:vAlign w:val="center"/>
          </w:tcPr>
          <w:p w14:paraId="755F0A4C" w14:textId="77777777" w:rsidR="00FC097F" w:rsidRDefault="00FC097F" w:rsidP="000951C1">
            <w:pPr>
              <w:jc w:val="center"/>
            </w:pPr>
            <w:r>
              <w:rPr>
                <w:sz w:val="18"/>
              </w:rPr>
              <w:t>1.507</w:t>
            </w:r>
          </w:p>
        </w:tc>
        <w:tc>
          <w:tcPr>
            <w:tcW w:w="1520" w:type="dxa"/>
            <w:vAlign w:val="center"/>
          </w:tcPr>
          <w:p w14:paraId="5A1AF1CE" w14:textId="77777777" w:rsidR="00FC097F" w:rsidRDefault="00FC097F" w:rsidP="000951C1">
            <w:pPr>
              <w:jc w:val="center"/>
            </w:pPr>
            <w:r>
              <w:rPr>
                <w:sz w:val="18"/>
              </w:rPr>
              <w:t>0,016%</w:t>
            </w:r>
          </w:p>
        </w:tc>
        <w:tc>
          <w:tcPr>
            <w:tcW w:w="1520" w:type="dxa"/>
            <w:vAlign w:val="center"/>
          </w:tcPr>
          <w:p w14:paraId="56BB50C3" w14:textId="77777777" w:rsidR="00FC097F" w:rsidRDefault="00FC097F" w:rsidP="000951C1">
            <w:pPr>
              <w:jc w:val="center"/>
            </w:pPr>
            <w:r>
              <w:rPr>
                <w:sz w:val="18"/>
              </w:rPr>
              <w:t>1,286%</w:t>
            </w:r>
          </w:p>
        </w:tc>
        <w:tc>
          <w:tcPr>
            <w:tcW w:w="1520" w:type="dxa"/>
            <w:vAlign w:val="center"/>
          </w:tcPr>
          <w:p w14:paraId="6B163C61" w14:textId="77777777" w:rsidR="00FC097F" w:rsidRDefault="00FC097F" w:rsidP="000951C1">
            <w:pPr>
              <w:jc w:val="center"/>
            </w:pPr>
            <w:r>
              <w:rPr>
                <w:sz w:val="18"/>
              </w:rPr>
              <w:t>-10,173%</w:t>
            </w:r>
          </w:p>
        </w:tc>
        <w:tc>
          <w:tcPr>
            <w:tcW w:w="1520" w:type="dxa"/>
            <w:vAlign w:val="center"/>
          </w:tcPr>
          <w:p w14:paraId="4F173286" w14:textId="77777777" w:rsidR="00FC097F" w:rsidRDefault="00FC097F" w:rsidP="000951C1">
            <w:pPr>
              <w:jc w:val="center"/>
            </w:pPr>
            <w:r>
              <w:rPr>
                <w:sz w:val="18"/>
              </w:rPr>
              <w:t>6,278%</w:t>
            </w:r>
          </w:p>
        </w:tc>
      </w:tr>
      <w:tr w:rsidR="00FC097F" w14:paraId="310D37A0" w14:textId="77777777" w:rsidTr="000951C1">
        <w:trPr>
          <w:cantSplit/>
          <w:jc w:val="center"/>
        </w:trPr>
        <w:tc>
          <w:tcPr>
            <w:tcW w:w="1520" w:type="dxa"/>
            <w:shd w:val="clear" w:color="auto" w:fill="F7F7F7"/>
            <w:vAlign w:val="center"/>
          </w:tcPr>
          <w:p w14:paraId="61602E6B" w14:textId="77777777" w:rsidR="00FC097F" w:rsidRDefault="00FC097F" w:rsidP="000951C1">
            <w:pPr>
              <w:jc w:val="center"/>
            </w:pPr>
            <w:r>
              <w:rPr>
                <w:sz w:val="18"/>
              </w:rPr>
              <w:t>Microsoft (MSFT)</w:t>
            </w:r>
          </w:p>
        </w:tc>
        <w:tc>
          <w:tcPr>
            <w:tcW w:w="1520" w:type="dxa"/>
            <w:shd w:val="clear" w:color="auto" w:fill="F7F7F7"/>
            <w:vAlign w:val="center"/>
          </w:tcPr>
          <w:p w14:paraId="41E19A35" w14:textId="77777777" w:rsidR="00FC097F" w:rsidRDefault="00FC097F" w:rsidP="000951C1">
            <w:pPr>
              <w:jc w:val="center"/>
            </w:pPr>
            <w:r>
              <w:rPr>
                <w:sz w:val="18"/>
              </w:rPr>
              <w:t>1.507</w:t>
            </w:r>
          </w:p>
        </w:tc>
        <w:tc>
          <w:tcPr>
            <w:tcW w:w="1520" w:type="dxa"/>
            <w:shd w:val="clear" w:color="auto" w:fill="F7F7F7"/>
            <w:vAlign w:val="center"/>
          </w:tcPr>
          <w:p w14:paraId="06E5CD35" w14:textId="77777777" w:rsidR="00FC097F" w:rsidRDefault="00FC097F" w:rsidP="000951C1">
            <w:pPr>
              <w:jc w:val="center"/>
            </w:pPr>
            <w:r>
              <w:rPr>
                <w:sz w:val="18"/>
              </w:rPr>
              <w:t>0,073%</w:t>
            </w:r>
          </w:p>
        </w:tc>
        <w:tc>
          <w:tcPr>
            <w:tcW w:w="1520" w:type="dxa"/>
            <w:shd w:val="clear" w:color="auto" w:fill="F7F7F7"/>
            <w:vAlign w:val="center"/>
          </w:tcPr>
          <w:p w14:paraId="38FE1796" w14:textId="77777777" w:rsidR="00FC097F" w:rsidRDefault="00FC097F" w:rsidP="000951C1">
            <w:pPr>
              <w:jc w:val="center"/>
            </w:pPr>
            <w:r>
              <w:rPr>
                <w:sz w:val="18"/>
              </w:rPr>
              <w:t>1,861%</w:t>
            </w:r>
          </w:p>
        </w:tc>
        <w:tc>
          <w:tcPr>
            <w:tcW w:w="1520" w:type="dxa"/>
            <w:shd w:val="clear" w:color="auto" w:fill="F7F7F7"/>
            <w:vAlign w:val="center"/>
          </w:tcPr>
          <w:p w14:paraId="06DBAB37" w14:textId="77777777" w:rsidR="00FC097F" w:rsidRDefault="00FC097F" w:rsidP="000951C1">
            <w:pPr>
              <w:jc w:val="center"/>
            </w:pPr>
            <w:r>
              <w:rPr>
                <w:sz w:val="18"/>
              </w:rPr>
              <w:t>-15,945%</w:t>
            </w:r>
          </w:p>
        </w:tc>
        <w:tc>
          <w:tcPr>
            <w:tcW w:w="1520" w:type="dxa"/>
            <w:shd w:val="clear" w:color="auto" w:fill="F7F7F7"/>
            <w:vAlign w:val="center"/>
          </w:tcPr>
          <w:p w14:paraId="344408AA" w14:textId="77777777" w:rsidR="00FC097F" w:rsidRDefault="00FC097F" w:rsidP="000951C1">
            <w:pPr>
              <w:jc w:val="center"/>
            </w:pPr>
            <w:r>
              <w:rPr>
                <w:sz w:val="18"/>
              </w:rPr>
              <w:t>13,293%</w:t>
            </w:r>
          </w:p>
        </w:tc>
      </w:tr>
      <w:tr w:rsidR="00FC097F" w14:paraId="38AB7B08" w14:textId="77777777" w:rsidTr="000951C1">
        <w:trPr>
          <w:cantSplit/>
          <w:jc w:val="center"/>
        </w:trPr>
        <w:tc>
          <w:tcPr>
            <w:tcW w:w="1520" w:type="dxa"/>
            <w:vAlign w:val="center"/>
          </w:tcPr>
          <w:p w14:paraId="631BD51B" w14:textId="77777777" w:rsidR="00FC097F" w:rsidRDefault="00FC097F" w:rsidP="000951C1">
            <w:pPr>
              <w:jc w:val="center"/>
            </w:pPr>
            <w:r>
              <w:rPr>
                <w:sz w:val="18"/>
              </w:rPr>
              <w:t>JPMorgan Chase (JPM)</w:t>
            </w:r>
          </w:p>
        </w:tc>
        <w:tc>
          <w:tcPr>
            <w:tcW w:w="1520" w:type="dxa"/>
            <w:vAlign w:val="center"/>
          </w:tcPr>
          <w:p w14:paraId="3DCB60CC" w14:textId="77777777" w:rsidR="00FC097F" w:rsidRDefault="00FC097F" w:rsidP="000951C1">
            <w:pPr>
              <w:jc w:val="center"/>
            </w:pPr>
            <w:r>
              <w:rPr>
                <w:sz w:val="18"/>
              </w:rPr>
              <w:t>1.507</w:t>
            </w:r>
          </w:p>
        </w:tc>
        <w:tc>
          <w:tcPr>
            <w:tcW w:w="1520" w:type="dxa"/>
            <w:vAlign w:val="center"/>
          </w:tcPr>
          <w:p w14:paraId="3E4D52D8" w14:textId="77777777" w:rsidR="00FC097F" w:rsidRDefault="00FC097F" w:rsidP="000951C1">
            <w:pPr>
              <w:jc w:val="center"/>
            </w:pPr>
            <w:r>
              <w:rPr>
                <w:sz w:val="18"/>
              </w:rPr>
              <w:t>0,055%</w:t>
            </w:r>
          </w:p>
        </w:tc>
        <w:tc>
          <w:tcPr>
            <w:tcW w:w="1520" w:type="dxa"/>
            <w:vAlign w:val="center"/>
          </w:tcPr>
          <w:p w14:paraId="376FEF0D" w14:textId="77777777" w:rsidR="00FC097F" w:rsidRDefault="00FC097F" w:rsidP="000951C1">
            <w:pPr>
              <w:jc w:val="center"/>
            </w:pPr>
            <w:r>
              <w:rPr>
                <w:sz w:val="18"/>
              </w:rPr>
              <w:t>1,978%</w:t>
            </w:r>
          </w:p>
        </w:tc>
        <w:tc>
          <w:tcPr>
            <w:tcW w:w="1520" w:type="dxa"/>
            <w:vAlign w:val="center"/>
          </w:tcPr>
          <w:p w14:paraId="5C32A39B" w14:textId="77777777" w:rsidR="00FC097F" w:rsidRDefault="00FC097F" w:rsidP="000951C1">
            <w:pPr>
              <w:jc w:val="center"/>
            </w:pPr>
            <w:r>
              <w:rPr>
                <w:sz w:val="18"/>
              </w:rPr>
              <w:t>-16,211%</w:t>
            </w:r>
          </w:p>
        </w:tc>
        <w:tc>
          <w:tcPr>
            <w:tcW w:w="1520" w:type="dxa"/>
            <w:vAlign w:val="center"/>
          </w:tcPr>
          <w:p w14:paraId="1DBB6201" w14:textId="77777777" w:rsidR="00FC097F" w:rsidRDefault="00FC097F" w:rsidP="000951C1">
            <w:pPr>
              <w:jc w:val="center"/>
            </w:pPr>
            <w:r>
              <w:rPr>
                <w:sz w:val="18"/>
              </w:rPr>
              <w:t>16,562%</w:t>
            </w:r>
          </w:p>
        </w:tc>
      </w:tr>
      <w:tr w:rsidR="00FC097F" w14:paraId="6920DFA9" w14:textId="77777777" w:rsidTr="000951C1">
        <w:trPr>
          <w:cantSplit/>
          <w:jc w:val="center"/>
        </w:trPr>
        <w:tc>
          <w:tcPr>
            <w:tcW w:w="1520" w:type="dxa"/>
            <w:shd w:val="clear" w:color="auto" w:fill="F7F7F7"/>
            <w:vAlign w:val="center"/>
          </w:tcPr>
          <w:p w14:paraId="259BC45D" w14:textId="77777777" w:rsidR="00FC097F" w:rsidRDefault="00FC097F" w:rsidP="000951C1">
            <w:pPr>
              <w:jc w:val="center"/>
            </w:pPr>
            <w:r>
              <w:rPr>
                <w:sz w:val="18"/>
              </w:rPr>
              <w:t>Χα</w:t>
            </w:r>
            <w:proofErr w:type="spellStart"/>
            <w:r>
              <w:rPr>
                <w:sz w:val="18"/>
              </w:rPr>
              <w:t>ρτοφυλάκιο</w:t>
            </w:r>
            <w:proofErr w:type="spellEnd"/>
          </w:p>
        </w:tc>
        <w:tc>
          <w:tcPr>
            <w:tcW w:w="1520" w:type="dxa"/>
            <w:shd w:val="clear" w:color="auto" w:fill="F7F7F7"/>
            <w:vAlign w:val="center"/>
          </w:tcPr>
          <w:p w14:paraId="63C8F12F" w14:textId="77777777" w:rsidR="00FC097F" w:rsidRDefault="00FC097F" w:rsidP="000951C1">
            <w:pPr>
              <w:jc w:val="center"/>
            </w:pPr>
            <w:r>
              <w:rPr>
                <w:sz w:val="18"/>
              </w:rPr>
              <w:t>1.507</w:t>
            </w:r>
          </w:p>
        </w:tc>
        <w:tc>
          <w:tcPr>
            <w:tcW w:w="1520" w:type="dxa"/>
            <w:shd w:val="clear" w:color="auto" w:fill="F7F7F7"/>
            <w:vAlign w:val="center"/>
          </w:tcPr>
          <w:p w14:paraId="2ED98A44" w14:textId="77777777" w:rsidR="00FC097F" w:rsidRDefault="00FC097F" w:rsidP="000951C1">
            <w:pPr>
              <w:jc w:val="center"/>
            </w:pPr>
            <w:r>
              <w:rPr>
                <w:sz w:val="18"/>
              </w:rPr>
              <w:t>0,048%</w:t>
            </w:r>
          </w:p>
        </w:tc>
        <w:tc>
          <w:tcPr>
            <w:tcW w:w="1520" w:type="dxa"/>
            <w:shd w:val="clear" w:color="auto" w:fill="F7F7F7"/>
            <w:vAlign w:val="center"/>
          </w:tcPr>
          <w:p w14:paraId="6A9A25A5" w14:textId="77777777" w:rsidR="00FC097F" w:rsidRDefault="00FC097F" w:rsidP="000951C1">
            <w:pPr>
              <w:jc w:val="center"/>
            </w:pPr>
            <w:r>
              <w:rPr>
                <w:sz w:val="18"/>
              </w:rPr>
              <w:t>1,348%</w:t>
            </w:r>
          </w:p>
        </w:tc>
        <w:tc>
          <w:tcPr>
            <w:tcW w:w="1520" w:type="dxa"/>
            <w:shd w:val="clear" w:color="auto" w:fill="F7F7F7"/>
            <w:vAlign w:val="center"/>
          </w:tcPr>
          <w:p w14:paraId="36A32E11" w14:textId="77777777" w:rsidR="00FC097F" w:rsidRDefault="00FC097F" w:rsidP="000951C1">
            <w:pPr>
              <w:jc w:val="center"/>
            </w:pPr>
            <w:r>
              <w:rPr>
                <w:sz w:val="18"/>
              </w:rPr>
              <w:t>-13,003%</w:t>
            </w:r>
          </w:p>
        </w:tc>
        <w:tc>
          <w:tcPr>
            <w:tcW w:w="1520" w:type="dxa"/>
            <w:shd w:val="clear" w:color="auto" w:fill="F7F7F7"/>
            <w:vAlign w:val="center"/>
          </w:tcPr>
          <w:p w14:paraId="2D2B1712" w14:textId="77777777" w:rsidR="00FC097F" w:rsidRDefault="00FC097F" w:rsidP="000951C1">
            <w:pPr>
              <w:jc w:val="center"/>
            </w:pPr>
            <w:r>
              <w:rPr>
                <w:sz w:val="18"/>
              </w:rPr>
              <w:t>10,865%</w:t>
            </w:r>
          </w:p>
        </w:tc>
      </w:tr>
      <w:tr w:rsidR="00FC097F" w14:paraId="273B8449" w14:textId="77777777" w:rsidTr="000951C1">
        <w:trPr>
          <w:cantSplit/>
          <w:jc w:val="center"/>
        </w:trPr>
        <w:tc>
          <w:tcPr>
            <w:tcW w:w="1520" w:type="dxa"/>
            <w:vAlign w:val="center"/>
          </w:tcPr>
          <w:p w14:paraId="2D31333B" w14:textId="77777777" w:rsidR="00FC097F" w:rsidRDefault="00FC097F" w:rsidP="000951C1">
            <w:pPr>
              <w:jc w:val="center"/>
            </w:pPr>
            <w:r>
              <w:rPr>
                <w:sz w:val="18"/>
              </w:rPr>
              <w:t>S&amp;P 500 futures (ES)</w:t>
            </w:r>
          </w:p>
        </w:tc>
        <w:tc>
          <w:tcPr>
            <w:tcW w:w="1520" w:type="dxa"/>
            <w:vAlign w:val="center"/>
          </w:tcPr>
          <w:p w14:paraId="53873A4B" w14:textId="77777777" w:rsidR="00FC097F" w:rsidRDefault="00FC097F" w:rsidP="000951C1">
            <w:pPr>
              <w:jc w:val="center"/>
            </w:pPr>
            <w:r>
              <w:rPr>
                <w:sz w:val="18"/>
              </w:rPr>
              <w:t>1.507</w:t>
            </w:r>
          </w:p>
        </w:tc>
        <w:tc>
          <w:tcPr>
            <w:tcW w:w="1520" w:type="dxa"/>
            <w:vAlign w:val="center"/>
          </w:tcPr>
          <w:p w14:paraId="05D4439D" w14:textId="77777777" w:rsidR="00FC097F" w:rsidRDefault="00FC097F" w:rsidP="000951C1">
            <w:pPr>
              <w:jc w:val="center"/>
            </w:pPr>
            <w:r>
              <w:rPr>
                <w:sz w:val="18"/>
              </w:rPr>
              <w:t>0,050%</w:t>
            </w:r>
          </w:p>
        </w:tc>
        <w:tc>
          <w:tcPr>
            <w:tcW w:w="1520" w:type="dxa"/>
            <w:vAlign w:val="center"/>
          </w:tcPr>
          <w:p w14:paraId="3B3294E2" w14:textId="77777777" w:rsidR="00FC097F" w:rsidRDefault="00FC097F" w:rsidP="000951C1">
            <w:pPr>
              <w:jc w:val="center"/>
            </w:pPr>
            <w:r>
              <w:rPr>
                <w:sz w:val="18"/>
              </w:rPr>
              <w:t>1,317%</w:t>
            </w:r>
          </w:p>
        </w:tc>
        <w:tc>
          <w:tcPr>
            <w:tcW w:w="1520" w:type="dxa"/>
            <w:vAlign w:val="center"/>
          </w:tcPr>
          <w:p w14:paraId="1E867A72" w14:textId="77777777" w:rsidR="00FC097F" w:rsidRDefault="00FC097F" w:rsidP="000951C1">
            <w:pPr>
              <w:jc w:val="center"/>
            </w:pPr>
            <w:r>
              <w:rPr>
                <w:sz w:val="18"/>
              </w:rPr>
              <w:t>-10,955%</w:t>
            </w:r>
          </w:p>
        </w:tc>
        <w:tc>
          <w:tcPr>
            <w:tcW w:w="1520" w:type="dxa"/>
            <w:vAlign w:val="center"/>
          </w:tcPr>
          <w:p w14:paraId="281420D0" w14:textId="77777777" w:rsidR="00FC097F" w:rsidRDefault="00FC097F" w:rsidP="000951C1">
            <w:pPr>
              <w:jc w:val="center"/>
            </w:pPr>
            <w:r>
              <w:rPr>
                <w:sz w:val="18"/>
              </w:rPr>
              <w:t>9,345%</w:t>
            </w:r>
          </w:p>
        </w:tc>
      </w:tr>
    </w:tbl>
    <w:p w14:paraId="7777166D" w14:textId="77777777" w:rsidR="006F18C7" w:rsidRDefault="006F18C7" w:rsidP="00FC097F">
      <w:pPr>
        <w:jc w:val="center"/>
        <w:rPr>
          <w:lang w:val="el-GR"/>
        </w:rPr>
      </w:pPr>
    </w:p>
    <w:p w14:paraId="320CA213" w14:textId="7F8048D5" w:rsidR="00FC097F" w:rsidRDefault="00FC097F" w:rsidP="00FC097F">
      <w:pPr>
        <w:jc w:val="center"/>
        <w:rPr>
          <w:lang w:val="el-GR"/>
        </w:rPr>
      </w:pPr>
      <w:r>
        <w:rPr>
          <w:noProof/>
        </w:rPr>
        <w:drawing>
          <wp:inline distT="0" distB="0" distL="0" distR="0" wp14:anchorId="78314A1B" wp14:editId="15F4D3CA">
            <wp:extent cx="5212080" cy="29939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4_1_cumulative.png"/>
                    <pic:cNvPicPr/>
                  </pic:nvPicPr>
                  <pic:blipFill>
                    <a:blip r:embed="rId11"/>
                    <a:stretch>
                      <a:fillRect/>
                    </a:stretch>
                  </pic:blipFill>
                  <pic:spPr>
                    <a:xfrm>
                      <a:off x="0" y="0"/>
                      <a:ext cx="5212080" cy="2993984"/>
                    </a:xfrm>
                    <a:prstGeom prst="rect">
                      <a:avLst/>
                    </a:prstGeom>
                  </pic:spPr>
                </pic:pic>
              </a:graphicData>
            </a:graphic>
          </wp:inline>
        </w:drawing>
      </w:r>
    </w:p>
    <w:p w14:paraId="2EA447F6" w14:textId="77777777" w:rsidR="006F18C7" w:rsidRPr="00FC097F" w:rsidRDefault="006F18C7" w:rsidP="006F18C7">
      <w:pPr>
        <w:pStyle w:val="af3"/>
        <w:keepNext/>
        <w:spacing w:after="60"/>
        <w:jc w:val="center"/>
        <w:rPr>
          <w:lang w:val="el-GR"/>
        </w:rPr>
      </w:pPr>
      <w:r w:rsidRPr="00FC097F">
        <w:rPr>
          <w:sz w:val="20"/>
          <w:lang w:val="el-GR"/>
        </w:rPr>
        <w:t>Διάγραμμα 4.1: Σωρευτική απόδοση αρχικού και αντισταθμισμένου χαρτοφυλακίου</w:t>
      </w:r>
    </w:p>
    <w:p w14:paraId="575A614B" w14:textId="77777777" w:rsidR="00603D50" w:rsidRPr="00603D50" w:rsidRDefault="00603D50" w:rsidP="00FC097F">
      <w:pPr>
        <w:jc w:val="center"/>
        <w:rPr>
          <w:lang w:val="el-GR"/>
        </w:rPr>
      </w:pPr>
    </w:p>
    <w:p w14:paraId="29B274FE" w14:textId="77777777" w:rsidR="00FC097F" w:rsidRPr="005B30C1" w:rsidRDefault="00FC097F" w:rsidP="00FC097F">
      <w:pPr>
        <w:pStyle w:val="af"/>
        <w:rPr>
          <w:lang w:val="el-GR"/>
        </w:rPr>
      </w:pPr>
      <w:r w:rsidRPr="005B30C1">
        <w:rPr>
          <w:lang w:val="el-GR"/>
        </w:rPr>
        <w:t xml:space="preserve">Τα στοιχεία του Πίνακα 4.1 δείχνουν ότι οι τρεις μετοχές δεν έχουν την ίδια μεταβλητότητα. Η </w:t>
      </w:r>
      <w:r>
        <w:t>Microsoft</w:t>
      </w:r>
      <w:r w:rsidRPr="005B30C1">
        <w:rPr>
          <w:lang w:val="el-GR"/>
        </w:rPr>
        <w:t xml:space="preserve"> και η </w:t>
      </w:r>
      <w:r>
        <w:t>JPMorgan</w:t>
      </w:r>
      <w:r w:rsidRPr="005B30C1">
        <w:rPr>
          <w:lang w:val="el-GR"/>
        </w:rPr>
        <w:t xml:space="preserve"> εμφανίζουν υψηλότερη ημερήσια τυπική απόκλιση σε σχέση με την </w:t>
      </w:r>
      <w:r>
        <w:t>Coca</w:t>
      </w:r>
      <w:r w:rsidRPr="005B30C1">
        <w:rPr>
          <w:lang w:val="el-GR"/>
        </w:rPr>
        <w:t>-</w:t>
      </w:r>
      <w:r>
        <w:t>Cola</w:t>
      </w:r>
      <w:r w:rsidRPr="005B30C1">
        <w:rPr>
          <w:lang w:val="el-GR"/>
        </w:rPr>
        <w:t xml:space="preserve">, γεγονός αναμενόμενο λόγω του διαφορετικού επιχειρηματικού και </w:t>
      </w:r>
      <w:r w:rsidRPr="005B30C1">
        <w:rPr>
          <w:lang w:val="el-GR"/>
        </w:rPr>
        <w:lastRenderedPageBreak/>
        <w:t xml:space="preserve">χρηματιστηριακού τους προφίλ. Η </w:t>
      </w:r>
      <w:r>
        <w:t>Coca</w:t>
      </w:r>
      <w:r w:rsidRPr="005B30C1">
        <w:rPr>
          <w:lang w:val="el-GR"/>
        </w:rPr>
        <w:t>-</w:t>
      </w:r>
      <w:r>
        <w:t>Cola</w:t>
      </w:r>
      <w:r w:rsidRPr="005B30C1">
        <w:rPr>
          <w:lang w:val="el-GR"/>
        </w:rPr>
        <w:t xml:space="preserve"> λειτουργεί περισσότερο ως αμυντική μετοχή, ενώ η </w:t>
      </w:r>
      <w:r>
        <w:t>Microsoft</w:t>
      </w:r>
      <w:r w:rsidRPr="005B30C1">
        <w:rPr>
          <w:lang w:val="el-GR"/>
        </w:rPr>
        <w:t xml:space="preserve"> και η </w:t>
      </w:r>
      <w:r>
        <w:t>JPMorgan</w:t>
      </w:r>
      <w:r w:rsidRPr="005B30C1">
        <w:rPr>
          <w:lang w:val="el-GR"/>
        </w:rPr>
        <w:t xml:space="preserve"> είναι πιο ευαίσθητες στις μεταβολές των προσδοκιών ανάπτυξης, επιτοκίων και μακροοικονομικού περιβάλλοντος. Το ισοσταθμισμένο χαρτοφυλάκιο εμφανίζει ημερήσια τυπική απόκλιση 1,348%, χαμηλότερη από τις δύο πιο ασταθείς μετοχές, αποτέλεσμα που αποτυπώνει το όφελος της διαφοροποίησης.</w:t>
      </w:r>
    </w:p>
    <w:p w14:paraId="3E3EEFB1" w14:textId="77777777" w:rsidR="00FC097F" w:rsidRPr="005B30C1" w:rsidRDefault="00FC097F" w:rsidP="00FC097F">
      <w:pPr>
        <w:pStyle w:val="af"/>
        <w:rPr>
          <w:lang w:val="el-GR"/>
        </w:rPr>
      </w:pPr>
      <w:r w:rsidRPr="005B30C1">
        <w:rPr>
          <w:lang w:val="el-GR"/>
        </w:rPr>
        <w:t xml:space="preserve">Οι ακραίες ημερήσιες παρατηρήσεις επιβεβαιώνουν ότι το δείγμα περιλαμβάνει περιόδους ουσιαστικής πίεσης. Η μέγιστη ημερήσια ζημία του χαρτοφυλακίου φθάνει το -13,003%, ενώ η μεγαλύτερη ημερήσια θετική μεταβολή ανέρχεται σε 10,865%. Οι επιμέρους μετοχές παρουσιάζουν ακόμη μεγαλύτερες κινήσεις, στοιχείο που είναι ιδιαίτερα χρήσιμο για την αξιολόγηση των μοντέλων </w:t>
      </w:r>
      <w:proofErr w:type="spellStart"/>
      <w:r>
        <w:t>VaR</w:t>
      </w:r>
      <w:proofErr w:type="spellEnd"/>
      <w:r w:rsidRPr="005B30C1">
        <w:rPr>
          <w:lang w:val="el-GR"/>
        </w:rPr>
        <w:t>, διότι επιτρέπει την πραγματική δοκιμή της ικανότητάς τους να καλύπτουν ζημίες σε συνθήκες πίεσης.</w:t>
      </w:r>
    </w:p>
    <w:p w14:paraId="0F7E34B7" w14:textId="77777777" w:rsidR="00FC097F" w:rsidRPr="005B30C1" w:rsidRDefault="00FC097F" w:rsidP="00FC097F">
      <w:pPr>
        <w:pStyle w:val="af"/>
        <w:rPr>
          <w:lang w:val="el-GR"/>
        </w:rPr>
      </w:pPr>
      <w:r w:rsidRPr="005B30C1">
        <w:rPr>
          <w:lang w:val="el-GR"/>
        </w:rPr>
        <w:t xml:space="preserve">Η περιγραφική στατιστική επιβεβαιώνει ότι οι επιμέρους μετοχές έχουν διαφορετικό προφίλ κινδύνου. Η </w:t>
      </w:r>
      <w:r>
        <w:t>Coca</w:t>
      </w:r>
      <w:r w:rsidRPr="005B30C1">
        <w:rPr>
          <w:lang w:val="el-GR"/>
        </w:rPr>
        <w:t>-</w:t>
      </w:r>
      <w:r>
        <w:t>Cola</w:t>
      </w:r>
      <w:r w:rsidRPr="005B30C1">
        <w:rPr>
          <w:lang w:val="el-GR"/>
        </w:rPr>
        <w:t xml:space="preserve"> εμφανίζει την πιο χαμηλή ημερήσια τυπική απόκλιση, 1,286%, κάτι που είναι συμβατό με τον πιο αμυντικό χαρακτήρα των καταναλωτικών αγαθών. Η </w:t>
      </w:r>
      <w:r>
        <w:t>Microsoft</w:t>
      </w:r>
      <w:r w:rsidRPr="005B30C1">
        <w:rPr>
          <w:lang w:val="el-GR"/>
        </w:rPr>
        <w:t xml:space="preserve"> και η </w:t>
      </w:r>
      <w:r>
        <w:t>JPMorgan</w:t>
      </w:r>
      <w:r w:rsidRPr="005B30C1">
        <w:rPr>
          <w:lang w:val="el-GR"/>
        </w:rPr>
        <w:t xml:space="preserve"> εμφανίζουν υψηλότερη μεταβλητότητα, 1,861% και 1,978% αντίστοιχα. Η τυπική απόκλιση του ισοβαρούς χαρτοφυλακίου είναι 1,348%, χαμηλότερη από τις δύο πιο ευμετάβλητες μετοχές, γεγονός που δείχνει την επίδραση της διαφοροποίησης. Παρόλα αυτά, η μέγιστη ημερήσια ζημία του χαρτοφυλακίου φθάνει το -13,003%, στοιχείο που δείχνει ότι η διαφοροποίηση δεν εξαλείφει τον κίνδυνο αγοράς.</w:t>
      </w:r>
    </w:p>
    <w:p w14:paraId="77B91B08" w14:textId="77777777" w:rsidR="00FC097F" w:rsidRPr="005B30C1" w:rsidRDefault="00FC097F" w:rsidP="00FC097F">
      <w:pPr>
        <w:pStyle w:val="af"/>
        <w:rPr>
          <w:lang w:val="el-GR"/>
        </w:rPr>
      </w:pPr>
      <w:r w:rsidRPr="005B30C1">
        <w:rPr>
          <w:lang w:val="el-GR"/>
        </w:rPr>
        <w:t xml:space="preserve">Ιδιαίτερο ενδιαφέρον έχει και η σύγκριση με το </w:t>
      </w:r>
      <w:r>
        <w:t>ES</w:t>
      </w:r>
      <w:r w:rsidRPr="005B30C1">
        <w:rPr>
          <w:lang w:val="el-GR"/>
        </w:rPr>
        <w:t xml:space="preserve"> </w:t>
      </w:r>
      <w:r>
        <w:t>futures</w:t>
      </w:r>
      <w:r w:rsidRPr="005B30C1">
        <w:rPr>
          <w:lang w:val="el-GR"/>
        </w:rPr>
        <w:t xml:space="preserve">. Η τυπική απόκλιση του </w:t>
      </w:r>
      <w:r>
        <w:t>futures</w:t>
      </w:r>
      <w:r w:rsidRPr="005B30C1">
        <w:rPr>
          <w:lang w:val="el-GR"/>
        </w:rPr>
        <w:t xml:space="preserve"> είναι 1,317%, δηλαδή πολύ κοντά στην τυπική απόκλιση του χαρτοφυλακίου. Αυτό υποστηρίζει τη χρήση του </w:t>
      </w:r>
      <w:r>
        <w:t>S</w:t>
      </w:r>
      <w:r w:rsidRPr="005B30C1">
        <w:rPr>
          <w:lang w:val="el-GR"/>
        </w:rPr>
        <w:t>&amp;</w:t>
      </w:r>
      <w:r>
        <w:t>P</w:t>
      </w:r>
      <w:r w:rsidRPr="005B30C1">
        <w:rPr>
          <w:lang w:val="el-GR"/>
        </w:rPr>
        <w:t xml:space="preserve"> 500 </w:t>
      </w:r>
      <w:r>
        <w:t>futures</w:t>
      </w:r>
      <w:r w:rsidRPr="005B30C1">
        <w:rPr>
          <w:lang w:val="el-GR"/>
        </w:rPr>
        <w:t xml:space="preserve"> ως εργαλείου αντιστάθμισης του συστηματικού μέρους του κινδύνου. Δεν σημαίνει ότι το </w:t>
      </w:r>
      <w:r>
        <w:t>futures</w:t>
      </w:r>
      <w:r w:rsidRPr="005B30C1">
        <w:rPr>
          <w:lang w:val="el-GR"/>
        </w:rPr>
        <w:t xml:space="preserve"> αντιγράφει πλήρως το χαρτοφυλάκιο, αλλά δείχνει ότι υπάρχει επαρκής σύνδεση με τη γενική κίνηση της αγοράς ώστε να εξεταστεί η αντισταθμιστική του λειτουργία.</w:t>
      </w:r>
    </w:p>
    <w:p w14:paraId="134EF7D9" w14:textId="77777777" w:rsidR="00FC097F" w:rsidRPr="005B30C1" w:rsidRDefault="00FC097F" w:rsidP="00321E2E">
      <w:pPr>
        <w:pStyle w:val="21"/>
        <w:rPr>
          <w:lang w:val="el-GR"/>
        </w:rPr>
      </w:pPr>
      <w:bookmarkStart w:id="59" w:name="_Toc232171090"/>
      <w:bookmarkStart w:id="60" w:name="εκτιμήσεις-var-πριν-από-την-αντιστάθμιση"/>
      <w:bookmarkEnd w:id="58"/>
      <w:r w:rsidRPr="005B30C1">
        <w:rPr>
          <w:rFonts w:eastAsia="Times New Roman"/>
          <w:lang w:val="el-GR"/>
        </w:rPr>
        <w:t xml:space="preserve">4.2 Εκτιμήσεις </w:t>
      </w:r>
      <w:proofErr w:type="spellStart"/>
      <w:r>
        <w:rPr>
          <w:rFonts w:eastAsia="Times New Roman"/>
        </w:rPr>
        <w:t>VaR</w:t>
      </w:r>
      <w:proofErr w:type="spellEnd"/>
      <w:r w:rsidRPr="005B30C1">
        <w:rPr>
          <w:rFonts w:eastAsia="Times New Roman"/>
          <w:lang w:val="el-GR"/>
        </w:rPr>
        <w:t xml:space="preserve"> πριν από την αντιστάθμιση</w:t>
      </w:r>
      <w:bookmarkEnd w:id="59"/>
    </w:p>
    <w:p w14:paraId="5786EFB6" w14:textId="77777777" w:rsidR="00FC097F" w:rsidRDefault="00FC097F" w:rsidP="00FC097F">
      <w:pPr>
        <w:ind w:firstLine="357"/>
        <w:rPr>
          <w:lang w:val="el-GR"/>
        </w:rPr>
      </w:pPr>
      <w:r w:rsidRPr="005B30C1">
        <w:rPr>
          <w:lang w:val="el-GR"/>
        </w:rPr>
        <w:t xml:space="preserve">Στη συνέχεια εφαρμόζονται οι δύο μέθοδοι </w:t>
      </w:r>
      <w:proofErr w:type="spellStart"/>
      <w:r>
        <w:t>VaR</w:t>
      </w:r>
      <w:proofErr w:type="spellEnd"/>
      <w:r w:rsidRPr="005B30C1">
        <w:rPr>
          <w:lang w:val="el-GR"/>
        </w:rPr>
        <w:t xml:space="preserve"> στο αρχικό, μη αντισταθμισμένο χαρτοφυλάκιο. Το επίπεδο εμπιστοσύνης είναι 99%, ενώ το δείγμα αξιολόγησης περιλαμβάνει 1.258 ημερήσιες προβλέψεις. Ο Πίνακας 4.2 παρουσιάζει τη μέση, ελάχιστη και μέγιστη ημερήσια εκτίμηση </w:t>
      </w:r>
      <w:proofErr w:type="spellStart"/>
      <w:r>
        <w:t>VaR</w:t>
      </w:r>
      <w:proofErr w:type="spellEnd"/>
      <w:r w:rsidRPr="005B30C1">
        <w:rPr>
          <w:lang w:val="el-GR"/>
        </w:rPr>
        <w:t xml:space="preserve"> για κάθε μέθοδο.</w:t>
      </w:r>
    </w:p>
    <w:p w14:paraId="6EA6F594" w14:textId="77777777" w:rsidR="00FC097F" w:rsidRPr="005B30C1" w:rsidRDefault="00FC097F" w:rsidP="00FC097F">
      <w:pPr>
        <w:pStyle w:val="af3"/>
        <w:keepNext/>
        <w:spacing w:after="60"/>
        <w:jc w:val="center"/>
        <w:rPr>
          <w:lang w:val="el-GR"/>
        </w:rPr>
      </w:pPr>
      <w:r w:rsidRPr="005B30C1">
        <w:rPr>
          <w:lang w:val="el-GR"/>
        </w:rPr>
        <w:lastRenderedPageBreak/>
        <w:t xml:space="preserve">Πίνακας 4.2: Ημερήσιες εκτιμήσεις </w:t>
      </w:r>
      <w:proofErr w:type="spellStart"/>
      <w:r>
        <w:t>VaR</w:t>
      </w:r>
      <w:proofErr w:type="spellEnd"/>
      <w:r w:rsidRPr="005B30C1">
        <w:rPr>
          <w:lang w:val="el-GR"/>
        </w:rPr>
        <w:t xml:space="preserve"> αρχικού χαρτοφυλακίου</w:t>
      </w:r>
    </w:p>
    <w:tbl>
      <w:tblPr>
        <w:tblStyle w:val="afa"/>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18"/>
        <w:gridCol w:w="1519"/>
        <w:gridCol w:w="1519"/>
        <w:gridCol w:w="1519"/>
        <w:gridCol w:w="1519"/>
        <w:gridCol w:w="1518"/>
      </w:tblGrid>
      <w:tr w:rsidR="00FC097F" w14:paraId="35A69DB8" w14:textId="77777777" w:rsidTr="000951C1">
        <w:trPr>
          <w:cantSplit/>
          <w:tblHeader/>
          <w:jc w:val="center"/>
        </w:trPr>
        <w:tc>
          <w:tcPr>
            <w:tcW w:w="1520" w:type="dxa"/>
            <w:shd w:val="clear" w:color="auto" w:fill="D9EAF7"/>
            <w:vAlign w:val="center"/>
          </w:tcPr>
          <w:p w14:paraId="16280E27" w14:textId="77777777" w:rsidR="00FC097F" w:rsidRDefault="00FC097F" w:rsidP="000951C1">
            <w:pPr>
              <w:jc w:val="center"/>
            </w:pPr>
            <w:proofErr w:type="spellStart"/>
            <w:r>
              <w:rPr>
                <w:b/>
                <w:sz w:val="18"/>
              </w:rPr>
              <w:t>Μέθοδος</w:t>
            </w:r>
            <w:proofErr w:type="spellEnd"/>
          </w:p>
        </w:tc>
        <w:tc>
          <w:tcPr>
            <w:tcW w:w="1520" w:type="dxa"/>
            <w:shd w:val="clear" w:color="auto" w:fill="D9EAF7"/>
            <w:vAlign w:val="center"/>
          </w:tcPr>
          <w:p w14:paraId="19B3AA7D" w14:textId="77777777" w:rsidR="00FC097F" w:rsidRDefault="00FC097F" w:rsidP="000951C1">
            <w:pPr>
              <w:jc w:val="center"/>
            </w:pPr>
            <w:r>
              <w:rPr>
                <w:b/>
                <w:sz w:val="18"/>
              </w:rPr>
              <w:t>Παρα</w:t>
            </w:r>
            <w:proofErr w:type="spellStart"/>
            <w:r>
              <w:rPr>
                <w:b/>
                <w:sz w:val="18"/>
              </w:rPr>
              <w:t>τηρήσεις</w:t>
            </w:r>
            <w:proofErr w:type="spellEnd"/>
          </w:p>
        </w:tc>
        <w:tc>
          <w:tcPr>
            <w:tcW w:w="1520" w:type="dxa"/>
            <w:shd w:val="clear" w:color="auto" w:fill="D9EAF7"/>
            <w:vAlign w:val="center"/>
          </w:tcPr>
          <w:p w14:paraId="1CA0395B" w14:textId="77777777" w:rsidR="00FC097F" w:rsidRDefault="00FC097F" w:rsidP="000951C1">
            <w:pPr>
              <w:jc w:val="center"/>
            </w:pPr>
            <w:proofErr w:type="spellStart"/>
            <w:r>
              <w:rPr>
                <w:b/>
                <w:sz w:val="18"/>
              </w:rPr>
              <w:t>Μέση</w:t>
            </w:r>
            <w:proofErr w:type="spellEnd"/>
            <w:r>
              <w:rPr>
                <w:b/>
                <w:sz w:val="18"/>
              </w:rPr>
              <w:t xml:space="preserve"> </w:t>
            </w:r>
            <w:proofErr w:type="spellStart"/>
            <w:r>
              <w:rPr>
                <w:b/>
                <w:sz w:val="18"/>
              </w:rPr>
              <w:t>ημερήσι</w:t>
            </w:r>
            <w:proofErr w:type="spellEnd"/>
            <w:r>
              <w:rPr>
                <w:b/>
                <w:sz w:val="18"/>
              </w:rPr>
              <w:t xml:space="preserve">α </w:t>
            </w:r>
            <w:proofErr w:type="spellStart"/>
            <w:r>
              <w:rPr>
                <w:b/>
                <w:sz w:val="18"/>
              </w:rPr>
              <w:t>VaR</w:t>
            </w:r>
            <w:proofErr w:type="spellEnd"/>
          </w:p>
        </w:tc>
        <w:tc>
          <w:tcPr>
            <w:tcW w:w="1520" w:type="dxa"/>
            <w:shd w:val="clear" w:color="auto" w:fill="D9EAF7"/>
            <w:vAlign w:val="center"/>
          </w:tcPr>
          <w:p w14:paraId="49C51786" w14:textId="77777777" w:rsidR="00FC097F" w:rsidRDefault="00FC097F" w:rsidP="000951C1">
            <w:pPr>
              <w:jc w:val="center"/>
            </w:pPr>
            <w:proofErr w:type="spellStart"/>
            <w:r>
              <w:rPr>
                <w:b/>
                <w:sz w:val="18"/>
              </w:rPr>
              <w:t>Ελάχιστη</w:t>
            </w:r>
            <w:proofErr w:type="spellEnd"/>
            <w:r>
              <w:rPr>
                <w:b/>
                <w:sz w:val="18"/>
              </w:rPr>
              <w:t xml:space="preserve"> </w:t>
            </w:r>
            <w:proofErr w:type="spellStart"/>
            <w:r>
              <w:rPr>
                <w:b/>
                <w:sz w:val="18"/>
              </w:rPr>
              <w:t>ημερήσι</w:t>
            </w:r>
            <w:proofErr w:type="spellEnd"/>
            <w:r>
              <w:rPr>
                <w:b/>
                <w:sz w:val="18"/>
              </w:rPr>
              <w:t xml:space="preserve">α </w:t>
            </w:r>
            <w:proofErr w:type="spellStart"/>
            <w:r>
              <w:rPr>
                <w:b/>
                <w:sz w:val="18"/>
              </w:rPr>
              <w:t>VaR</w:t>
            </w:r>
            <w:proofErr w:type="spellEnd"/>
          </w:p>
        </w:tc>
        <w:tc>
          <w:tcPr>
            <w:tcW w:w="1520" w:type="dxa"/>
            <w:shd w:val="clear" w:color="auto" w:fill="D9EAF7"/>
            <w:vAlign w:val="center"/>
          </w:tcPr>
          <w:p w14:paraId="292443C0" w14:textId="77777777" w:rsidR="00FC097F" w:rsidRDefault="00FC097F" w:rsidP="000951C1">
            <w:pPr>
              <w:jc w:val="center"/>
            </w:pPr>
            <w:proofErr w:type="spellStart"/>
            <w:r>
              <w:rPr>
                <w:b/>
                <w:sz w:val="18"/>
              </w:rPr>
              <w:t>Μέγιστη</w:t>
            </w:r>
            <w:proofErr w:type="spellEnd"/>
            <w:r>
              <w:rPr>
                <w:b/>
                <w:sz w:val="18"/>
              </w:rPr>
              <w:t xml:space="preserve"> </w:t>
            </w:r>
            <w:proofErr w:type="spellStart"/>
            <w:r>
              <w:rPr>
                <w:b/>
                <w:sz w:val="18"/>
              </w:rPr>
              <w:t>ημερήσι</w:t>
            </w:r>
            <w:proofErr w:type="spellEnd"/>
            <w:r>
              <w:rPr>
                <w:b/>
                <w:sz w:val="18"/>
              </w:rPr>
              <w:t xml:space="preserve">α </w:t>
            </w:r>
            <w:proofErr w:type="spellStart"/>
            <w:r>
              <w:rPr>
                <w:b/>
                <w:sz w:val="18"/>
              </w:rPr>
              <w:t>VaR</w:t>
            </w:r>
            <w:proofErr w:type="spellEnd"/>
          </w:p>
        </w:tc>
        <w:tc>
          <w:tcPr>
            <w:tcW w:w="1520" w:type="dxa"/>
            <w:shd w:val="clear" w:color="auto" w:fill="D9EAF7"/>
            <w:vAlign w:val="center"/>
          </w:tcPr>
          <w:p w14:paraId="6F47EEF2" w14:textId="77777777" w:rsidR="00FC097F" w:rsidRDefault="00FC097F" w:rsidP="000951C1">
            <w:pPr>
              <w:jc w:val="center"/>
            </w:pPr>
            <w:proofErr w:type="spellStart"/>
            <w:r>
              <w:rPr>
                <w:b/>
                <w:sz w:val="18"/>
              </w:rPr>
              <w:t>Μέση</w:t>
            </w:r>
            <w:proofErr w:type="spellEnd"/>
            <w:r>
              <w:rPr>
                <w:b/>
                <w:sz w:val="18"/>
              </w:rPr>
              <w:t xml:space="preserve"> </w:t>
            </w:r>
            <w:proofErr w:type="spellStart"/>
            <w:r>
              <w:rPr>
                <w:b/>
                <w:sz w:val="18"/>
              </w:rPr>
              <w:t>VaR</w:t>
            </w:r>
            <w:proofErr w:type="spellEnd"/>
            <w:r>
              <w:rPr>
                <w:b/>
                <w:sz w:val="18"/>
              </w:rPr>
              <w:t xml:space="preserve"> </w:t>
            </w:r>
            <w:proofErr w:type="spellStart"/>
            <w:r>
              <w:rPr>
                <w:b/>
                <w:sz w:val="18"/>
              </w:rPr>
              <w:t>σε</w:t>
            </w:r>
            <w:proofErr w:type="spellEnd"/>
            <w:r>
              <w:rPr>
                <w:b/>
                <w:sz w:val="18"/>
              </w:rPr>
              <w:t xml:space="preserve"> €</w:t>
            </w:r>
          </w:p>
        </w:tc>
      </w:tr>
      <w:tr w:rsidR="00FC097F" w14:paraId="70D7B202" w14:textId="77777777" w:rsidTr="000951C1">
        <w:trPr>
          <w:cantSplit/>
          <w:jc w:val="center"/>
        </w:trPr>
        <w:tc>
          <w:tcPr>
            <w:tcW w:w="1520" w:type="dxa"/>
            <w:vAlign w:val="center"/>
          </w:tcPr>
          <w:p w14:paraId="53FD7395" w14:textId="77777777" w:rsidR="00FC097F" w:rsidRDefault="00FC097F" w:rsidP="000951C1">
            <w:pPr>
              <w:jc w:val="center"/>
            </w:pPr>
            <w:r>
              <w:rPr>
                <w:sz w:val="18"/>
              </w:rPr>
              <w:t xml:space="preserve">EWMA </w:t>
            </w:r>
            <w:proofErr w:type="spellStart"/>
            <w:r>
              <w:rPr>
                <w:sz w:val="18"/>
              </w:rPr>
              <w:t>VaR</w:t>
            </w:r>
            <w:proofErr w:type="spellEnd"/>
            <w:r>
              <w:rPr>
                <w:sz w:val="18"/>
              </w:rPr>
              <w:t xml:space="preserve"> 99%</w:t>
            </w:r>
          </w:p>
        </w:tc>
        <w:tc>
          <w:tcPr>
            <w:tcW w:w="1520" w:type="dxa"/>
            <w:vAlign w:val="center"/>
          </w:tcPr>
          <w:p w14:paraId="3D480FDE" w14:textId="77777777" w:rsidR="00FC097F" w:rsidRDefault="00FC097F" w:rsidP="000951C1">
            <w:pPr>
              <w:jc w:val="center"/>
            </w:pPr>
            <w:r>
              <w:rPr>
                <w:sz w:val="18"/>
              </w:rPr>
              <w:t>1.258</w:t>
            </w:r>
          </w:p>
        </w:tc>
        <w:tc>
          <w:tcPr>
            <w:tcW w:w="1520" w:type="dxa"/>
            <w:vAlign w:val="center"/>
          </w:tcPr>
          <w:p w14:paraId="10959157" w14:textId="77777777" w:rsidR="00FC097F" w:rsidRDefault="00FC097F" w:rsidP="000951C1">
            <w:pPr>
              <w:jc w:val="center"/>
            </w:pPr>
            <w:r>
              <w:rPr>
                <w:sz w:val="18"/>
              </w:rPr>
              <w:t>2,19%</w:t>
            </w:r>
          </w:p>
        </w:tc>
        <w:tc>
          <w:tcPr>
            <w:tcW w:w="1520" w:type="dxa"/>
            <w:vAlign w:val="center"/>
          </w:tcPr>
          <w:p w14:paraId="54F57A57" w14:textId="77777777" w:rsidR="00FC097F" w:rsidRDefault="00FC097F" w:rsidP="000951C1">
            <w:pPr>
              <w:jc w:val="center"/>
            </w:pPr>
            <w:r>
              <w:rPr>
                <w:sz w:val="18"/>
              </w:rPr>
              <w:t>1,16%</w:t>
            </w:r>
          </w:p>
        </w:tc>
        <w:tc>
          <w:tcPr>
            <w:tcW w:w="1520" w:type="dxa"/>
            <w:vAlign w:val="center"/>
          </w:tcPr>
          <w:p w14:paraId="68633D3C" w14:textId="77777777" w:rsidR="00FC097F" w:rsidRDefault="00FC097F" w:rsidP="000951C1">
            <w:pPr>
              <w:jc w:val="center"/>
            </w:pPr>
            <w:r>
              <w:rPr>
                <w:sz w:val="18"/>
              </w:rPr>
              <w:t>5,20%</w:t>
            </w:r>
          </w:p>
        </w:tc>
        <w:tc>
          <w:tcPr>
            <w:tcW w:w="1520" w:type="dxa"/>
            <w:vAlign w:val="center"/>
          </w:tcPr>
          <w:p w14:paraId="42311AA3" w14:textId="77777777" w:rsidR="00FC097F" w:rsidRDefault="00FC097F" w:rsidP="000951C1">
            <w:pPr>
              <w:jc w:val="center"/>
            </w:pPr>
            <w:r>
              <w:rPr>
                <w:sz w:val="18"/>
              </w:rPr>
              <w:t>21.882</w:t>
            </w:r>
          </w:p>
        </w:tc>
      </w:tr>
      <w:tr w:rsidR="00FC097F" w14:paraId="62FC2EC8" w14:textId="77777777" w:rsidTr="000951C1">
        <w:trPr>
          <w:cantSplit/>
          <w:jc w:val="center"/>
        </w:trPr>
        <w:tc>
          <w:tcPr>
            <w:tcW w:w="1520" w:type="dxa"/>
            <w:shd w:val="clear" w:color="auto" w:fill="F7F7F7"/>
            <w:vAlign w:val="center"/>
          </w:tcPr>
          <w:p w14:paraId="1DD4EBEB" w14:textId="77777777" w:rsidR="00FC097F" w:rsidRDefault="00FC097F" w:rsidP="000951C1">
            <w:pPr>
              <w:jc w:val="center"/>
            </w:pPr>
            <w:r>
              <w:rPr>
                <w:sz w:val="18"/>
              </w:rPr>
              <w:t xml:space="preserve">Historical </w:t>
            </w:r>
            <w:proofErr w:type="spellStart"/>
            <w:r>
              <w:rPr>
                <w:sz w:val="18"/>
              </w:rPr>
              <w:t>VaR</w:t>
            </w:r>
            <w:proofErr w:type="spellEnd"/>
            <w:r>
              <w:rPr>
                <w:sz w:val="18"/>
              </w:rPr>
              <w:t xml:space="preserve"> 99%</w:t>
            </w:r>
          </w:p>
        </w:tc>
        <w:tc>
          <w:tcPr>
            <w:tcW w:w="1520" w:type="dxa"/>
            <w:shd w:val="clear" w:color="auto" w:fill="F7F7F7"/>
            <w:vAlign w:val="center"/>
          </w:tcPr>
          <w:p w14:paraId="0C6B4D26" w14:textId="77777777" w:rsidR="00FC097F" w:rsidRDefault="00FC097F" w:rsidP="000951C1">
            <w:pPr>
              <w:jc w:val="center"/>
            </w:pPr>
            <w:r>
              <w:rPr>
                <w:sz w:val="18"/>
              </w:rPr>
              <w:t>1.258</w:t>
            </w:r>
          </w:p>
        </w:tc>
        <w:tc>
          <w:tcPr>
            <w:tcW w:w="1520" w:type="dxa"/>
            <w:shd w:val="clear" w:color="auto" w:fill="F7F7F7"/>
            <w:vAlign w:val="center"/>
          </w:tcPr>
          <w:p w14:paraId="0B7B55D1" w14:textId="77777777" w:rsidR="00FC097F" w:rsidRDefault="00FC097F" w:rsidP="000951C1">
            <w:pPr>
              <w:jc w:val="center"/>
            </w:pPr>
            <w:r>
              <w:rPr>
                <w:sz w:val="18"/>
              </w:rPr>
              <w:t>2,76%</w:t>
            </w:r>
          </w:p>
        </w:tc>
        <w:tc>
          <w:tcPr>
            <w:tcW w:w="1520" w:type="dxa"/>
            <w:shd w:val="clear" w:color="auto" w:fill="F7F7F7"/>
            <w:vAlign w:val="center"/>
          </w:tcPr>
          <w:p w14:paraId="1597F072" w14:textId="77777777" w:rsidR="00FC097F" w:rsidRDefault="00FC097F" w:rsidP="000951C1">
            <w:pPr>
              <w:jc w:val="center"/>
            </w:pPr>
            <w:r>
              <w:rPr>
                <w:sz w:val="18"/>
              </w:rPr>
              <w:t>1,50%</w:t>
            </w:r>
          </w:p>
        </w:tc>
        <w:tc>
          <w:tcPr>
            <w:tcW w:w="1520" w:type="dxa"/>
            <w:shd w:val="clear" w:color="auto" w:fill="F7F7F7"/>
            <w:vAlign w:val="center"/>
          </w:tcPr>
          <w:p w14:paraId="00EFFDC4" w14:textId="77777777" w:rsidR="00FC097F" w:rsidRDefault="00FC097F" w:rsidP="000951C1">
            <w:pPr>
              <w:jc w:val="center"/>
            </w:pPr>
            <w:r>
              <w:rPr>
                <w:sz w:val="18"/>
              </w:rPr>
              <w:t>8,14%</w:t>
            </w:r>
          </w:p>
        </w:tc>
        <w:tc>
          <w:tcPr>
            <w:tcW w:w="1520" w:type="dxa"/>
            <w:shd w:val="clear" w:color="auto" w:fill="F7F7F7"/>
            <w:vAlign w:val="center"/>
          </w:tcPr>
          <w:p w14:paraId="11E6EC19" w14:textId="77777777" w:rsidR="00FC097F" w:rsidRDefault="00FC097F" w:rsidP="000951C1">
            <w:pPr>
              <w:jc w:val="center"/>
            </w:pPr>
            <w:r>
              <w:rPr>
                <w:sz w:val="18"/>
              </w:rPr>
              <w:t>27.629</w:t>
            </w:r>
          </w:p>
        </w:tc>
      </w:tr>
    </w:tbl>
    <w:p w14:paraId="5F673F9D" w14:textId="77777777" w:rsidR="001002F4" w:rsidRDefault="001002F4" w:rsidP="00FC097F">
      <w:pPr>
        <w:pStyle w:val="af3"/>
        <w:keepNext/>
        <w:spacing w:after="60"/>
        <w:jc w:val="center"/>
        <w:rPr>
          <w:sz w:val="20"/>
          <w:lang w:val="el-GR"/>
        </w:rPr>
      </w:pPr>
    </w:p>
    <w:p w14:paraId="737D28F1" w14:textId="77777777" w:rsidR="006F18C7" w:rsidRDefault="006F18C7" w:rsidP="00FC097F">
      <w:pPr>
        <w:jc w:val="center"/>
        <w:rPr>
          <w:lang w:val="el-GR"/>
        </w:rPr>
      </w:pPr>
    </w:p>
    <w:p w14:paraId="10722803" w14:textId="63A95DB7" w:rsidR="00FC097F" w:rsidRDefault="00FC097F" w:rsidP="00FC097F">
      <w:pPr>
        <w:jc w:val="center"/>
      </w:pPr>
      <w:r>
        <w:rPr>
          <w:noProof/>
        </w:rPr>
        <w:drawing>
          <wp:inline distT="0" distB="0" distL="0" distR="0" wp14:anchorId="6C6DA819" wp14:editId="45D6BE5E">
            <wp:extent cx="5212080" cy="29939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4_2_var_thresholds.png"/>
                    <pic:cNvPicPr/>
                  </pic:nvPicPr>
                  <pic:blipFill>
                    <a:blip r:embed="rId12"/>
                    <a:stretch>
                      <a:fillRect/>
                    </a:stretch>
                  </pic:blipFill>
                  <pic:spPr>
                    <a:xfrm>
                      <a:off x="0" y="0"/>
                      <a:ext cx="5212080" cy="2993984"/>
                    </a:xfrm>
                    <a:prstGeom prst="rect">
                      <a:avLst/>
                    </a:prstGeom>
                  </pic:spPr>
                </pic:pic>
              </a:graphicData>
            </a:graphic>
          </wp:inline>
        </w:drawing>
      </w:r>
    </w:p>
    <w:p w14:paraId="2C1FBD8D" w14:textId="77777777" w:rsidR="006F18C7" w:rsidRPr="00FC097F" w:rsidRDefault="006F18C7" w:rsidP="006F18C7">
      <w:pPr>
        <w:pStyle w:val="af3"/>
        <w:keepNext/>
        <w:spacing w:after="60"/>
        <w:jc w:val="center"/>
        <w:rPr>
          <w:lang w:val="el-GR"/>
        </w:rPr>
      </w:pPr>
      <w:r w:rsidRPr="00FC097F">
        <w:rPr>
          <w:sz w:val="20"/>
          <w:lang w:val="el-GR"/>
        </w:rPr>
        <w:t xml:space="preserve">Διάγραμμα 4.2: Ημερήσιες αποδόσεις και όρια </w:t>
      </w:r>
      <w:proofErr w:type="spellStart"/>
      <w:r>
        <w:rPr>
          <w:sz w:val="20"/>
        </w:rPr>
        <w:t>VaR</w:t>
      </w:r>
      <w:proofErr w:type="spellEnd"/>
      <w:r w:rsidRPr="00FC097F">
        <w:rPr>
          <w:sz w:val="20"/>
          <w:lang w:val="el-GR"/>
        </w:rPr>
        <w:t xml:space="preserve"> 99% του αρχικού χαρτοφυλακίου</w:t>
      </w:r>
    </w:p>
    <w:p w14:paraId="319494DD" w14:textId="77777777" w:rsidR="006F18C7" w:rsidRDefault="006F18C7" w:rsidP="00FC097F">
      <w:pPr>
        <w:pStyle w:val="af"/>
        <w:rPr>
          <w:lang w:val="el-GR"/>
        </w:rPr>
      </w:pPr>
    </w:p>
    <w:p w14:paraId="0675BB28" w14:textId="2398A23C" w:rsidR="00FC097F" w:rsidRPr="005B30C1" w:rsidRDefault="00FC097F" w:rsidP="00FC097F">
      <w:pPr>
        <w:pStyle w:val="af"/>
        <w:rPr>
          <w:lang w:val="el-GR"/>
        </w:rPr>
      </w:pPr>
      <w:r w:rsidRPr="005B30C1">
        <w:rPr>
          <w:lang w:val="el-GR"/>
        </w:rPr>
        <w:t xml:space="preserve">Οι δύο μέθοδοι δεν δίνουν την ίδια μέση εικόνα κινδύνου. Η μέση ημερήσια </w:t>
      </w:r>
      <w:r>
        <w:t>EWMA</w:t>
      </w:r>
      <w:r w:rsidRPr="005B30C1">
        <w:rPr>
          <w:lang w:val="el-GR"/>
        </w:rPr>
        <w:t xml:space="preserve"> </w:t>
      </w:r>
      <w:proofErr w:type="spellStart"/>
      <w:r>
        <w:t>VaR</w:t>
      </w:r>
      <w:proofErr w:type="spellEnd"/>
      <w:r w:rsidRPr="005B30C1">
        <w:rPr>
          <w:lang w:val="el-GR"/>
        </w:rPr>
        <w:t xml:space="preserve"> ανέρχεται σε 2,19%, ενώ η </w:t>
      </w:r>
      <w:r>
        <w:t>Historical</w:t>
      </w:r>
      <w:r w:rsidRPr="005B30C1">
        <w:rPr>
          <w:lang w:val="el-GR"/>
        </w:rPr>
        <w:t xml:space="preserve"> </w:t>
      </w:r>
      <w:proofErr w:type="spellStart"/>
      <w:r>
        <w:t>VaR</w:t>
      </w:r>
      <w:proofErr w:type="spellEnd"/>
      <w:r w:rsidRPr="005B30C1">
        <w:rPr>
          <w:lang w:val="el-GR"/>
        </w:rPr>
        <w:t xml:space="preserve"> ανέρχεται σε 2,76%. Η υψηλότερη τιμή της </w:t>
      </w:r>
      <w:r>
        <w:t>Historical</w:t>
      </w:r>
      <w:r w:rsidRPr="005B30C1">
        <w:rPr>
          <w:lang w:val="el-GR"/>
        </w:rPr>
        <w:t xml:space="preserve"> </w:t>
      </w:r>
      <w:proofErr w:type="spellStart"/>
      <w:r>
        <w:t>VaR</w:t>
      </w:r>
      <w:proofErr w:type="spellEnd"/>
      <w:r w:rsidRPr="005B30C1">
        <w:rPr>
          <w:lang w:val="el-GR"/>
        </w:rPr>
        <w:t xml:space="preserve"> συνδέεται με το γεγονός ότι το κυλιόμενο ιστορικό παράθυρο διατηρεί στο δείγμα υπολογισμού ακραίες αρνητικές αποδόσεις, ιδίως στην αρχή της περιόδου αξιολόγησης, όταν τα σοκ του 2020 εξακολουθούν να επηρεάζουν το ιστορικό </w:t>
      </w:r>
      <w:proofErr w:type="spellStart"/>
      <w:r w:rsidRPr="005B30C1">
        <w:rPr>
          <w:lang w:val="el-GR"/>
        </w:rPr>
        <w:t>ποσοστημόριο</w:t>
      </w:r>
      <w:proofErr w:type="spellEnd"/>
      <w:r w:rsidRPr="005B30C1">
        <w:rPr>
          <w:lang w:val="el-GR"/>
        </w:rPr>
        <w:t xml:space="preserve">. Η μέγιστη </w:t>
      </w:r>
      <w:r>
        <w:t>Historical</w:t>
      </w:r>
      <w:r w:rsidRPr="005B30C1">
        <w:rPr>
          <w:lang w:val="el-GR"/>
        </w:rPr>
        <w:t xml:space="preserve"> </w:t>
      </w:r>
      <w:proofErr w:type="spellStart"/>
      <w:r>
        <w:t>VaR</w:t>
      </w:r>
      <w:proofErr w:type="spellEnd"/>
      <w:r w:rsidRPr="005B30C1">
        <w:rPr>
          <w:lang w:val="el-GR"/>
        </w:rPr>
        <w:t xml:space="preserve"> φθάνει έως 8,14%, ενώ η μέγιστη </w:t>
      </w:r>
      <w:r>
        <w:t>EWMA</w:t>
      </w:r>
      <w:r w:rsidRPr="005B30C1">
        <w:rPr>
          <w:lang w:val="el-GR"/>
        </w:rPr>
        <w:t xml:space="preserve"> </w:t>
      </w:r>
      <w:proofErr w:type="spellStart"/>
      <w:r>
        <w:t>VaR</w:t>
      </w:r>
      <w:proofErr w:type="spellEnd"/>
      <w:r w:rsidRPr="005B30C1">
        <w:rPr>
          <w:lang w:val="el-GR"/>
        </w:rPr>
        <w:t xml:space="preserve"> έως 5,20%.</w:t>
      </w:r>
    </w:p>
    <w:p w14:paraId="6D99AC9E" w14:textId="77777777" w:rsidR="00FC097F" w:rsidRPr="005B30C1" w:rsidRDefault="00FC097F" w:rsidP="00FC097F">
      <w:pPr>
        <w:pStyle w:val="af"/>
        <w:rPr>
          <w:lang w:val="el-GR"/>
        </w:rPr>
      </w:pPr>
      <w:r w:rsidRPr="005B30C1">
        <w:rPr>
          <w:lang w:val="el-GR"/>
        </w:rPr>
        <w:t xml:space="preserve">Με βάση ενδεικτική αξία χαρτοφυλακίου 1.000.000 ευρώ, το μέσο δεκαήμερο </w:t>
      </w:r>
      <w:r>
        <w:t>EWMA</w:t>
      </w:r>
      <w:r w:rsidRPr="005B30C1">
        <w:rPr>
          <w:lang w:val="el-GR"/>
        </w:rPr>
        <w:t xml:space="preserve"> </w:t>
      </w:r>
      <w:proofErr w:type="spellStart"/>
      <w:r>
        <w:t>VaR</w:t>
      </w:r>
      <w:proofErr w:type="spellEnd"/>
      <w:r w:rsidRPr="005B30C1">
        <w:rPr>
          <w:lang w:val="el-GR"/>
        </w:rPr>
        <w:t xml:space="preserve"> ανέρχεται σε 69.197 €, ενώ το μέσο δεκαήμερο </w:t>
      </w:r>
      <w:r>
        <w:t>Historical</w:t>
      </w:r>
      <w:r w:rsidRPr="005B30C1">
        <w:rPr>
          <w:lang w:val="el-GR"/>
        </w:rPr>
        <w:t xml:space="preserve"> </w:t>
      </w:r>
      <w:proofErr w:type="spellStart"/>
      <w:r>
        <w:t>VaR</w:t>
      </w:r>
      <w:proofErr w:type="spellEnd"/>
      <w:r w:rsidRPr="005B30C1">
        <w:rPr>
          <w:lang w:val="el-GR"/>
        </w:rPr>
        <w:t xml:space="preserve"> ανέρχεται σε 87.371 €. Η δεκαήμερη </w:t>
      </w:r>
      <w:r>
        <w:t>Historical</w:t>
      </w:r>
      <w:r w:rsidRPr="005B30C1">
        <w:rPr>
          <w:lang w:val="el-GR"/>
        </w:rPr>
        <w:t xml:space="preserve"> </w:t>
      </w:r>
      <w:proofErr w:type="spellStart"/>
      <w:r>
        <w:t>VaR</w:t>
      </w:r>
      <w:proofErr w:type="spellEnd"/>
      <w:r w:rsidRPr="005B30C1">
        <w:rPr>
          <w:lang w:val="el-GR"/>
        </w:rPr>
        <w:t xml:space="preserve"> είναι υψηλότερη, επειδή επηρεάζεται περισσότερο από τις χειρότερες ιστορικές παρατηρήσεις του παραθύρου υπολογισμού.</w:t>
      </w:r>
    </w:p>
    <w:p w14:paraId="3B80275A" w14:textId="77777777" w:rsidR="00FC097F" w:rsidRPr="005B30C1" w:rsidRDefault="00FC097F" w:rsidP="00FC097F">
      <w:pPr>
        <w:pStyle w:val="af3"/>
        <w:keepNext/>
        <w:spacing w:after="60"/>
        <w:jc w:val="center"/>
        <w:rPr>
          <w:lang w:val="el-GR"/>
        </w:rPr>
      </w:pPr>
      <w:r w:rsidRPr="005B30C1">
        <w:rPr>
          <w:lang w:val="el-GR"/>
        </w:rPr>
        <w:lastRenderedPageBreak/>
        <w:t xml:space="preserve">Πίνακας 4.3: Μέσο δεκαήμερο </w:t>
      </w:r>
      <w:proofErr w:type="spellStart"/>
      <w:r>
        <w:t>VaR</w:t>
      </w:r>
      <w:proofErr w:type="spellEnd"/>
      <w:r w:rsidRPr="005B30C1">
        <w:rPr>
          <w:lang w:val="el-GR"/>
        </w:rPr>
        <w:t xml:space="preserve"> αρχικού χαρτοφυλακίου</w:t>
      </w:r>
    </w:p>
    <w:tbl>
      <w:tblPr>
        <w:tblStyle w:val="afa"/>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23"/>
        <w:gridCol w:w="1823"/>
        <w:gridCol w:w="1822"/>
        <w:gridCol w:w="1822"/>
        <w:gridCol w:w="1822"/>
      </w:tblGrid>
      <w:tr w:rsidR="00FC097F" w14:paraId="4E1DF6A2" w14:textId="77777777" w:rsidTr="000951C1">
        <w:trPr>
          <w:cantSplit/>
          <w:tblHeader/>
          <w:jc w:val="center"/>
        </w:trPr>
        <w:tc>
          <w:tcPr>
            <w:tcW w:w="1824" w:type="dxa"/>
            <w:shd w:val="clear" w:color="auto" w:fill="D9EAF7"/>
            <w:vAlign w:val="center"/>
          </w:tcPr>
          <w:p w14:paraId="3E728E93" w14:textId="77777777" w:rsidR="00FC097F" w:rsidRDefault="00FC097F" w:rsidP="000951C1">
            <w:pPr>
              <w:jc w:val="center"/>
            </w:pPr>
            <w:proofErr w:type="spellStart"/>
            <w:r>
              <w:rPr>
                <w:b/>
                <w:sz w:val="18"/>
              </w:rPr>
              <w:t>Μέθοδος</w:t>
            </w:r>
            <w:proofErr w:type="spellEnd"/>
          </w:p>
        </w:tc>
        <w:tc>
          <w:tcPr>
            <w:tcW w:w="1824" w:type="dxa"/>
            <w:shd w:val="clear" w:color="auto" w:fill="D9EAF7"/>
            <w:vAlign w:val="center"/>
          </w:tcPr>
          <w:p w14:paraId="4BD45FF0" w14:textId="77777777" w:rsidR="00FC097F" w:rsidRDefault="00FC097F" w:rsidP="000951C1">
            <w:pPr>
              <w:jc w:val="center"/>
            </w:pPr>
            <w:proofErr w:type="spellStart"/>
            <w:r>
              <w:rPr>
                <w:b/>
                <w:sz w:val="18"/>
              </w:rPr>
              <w:t>Μέσο</w:t>
            </w:r>
            <w:proofErr w:type="spellEnd"/>
            <w:r>
              <w:rPr>
                <w:b/>
                <w:sz w:val="18"/>
              </w:rPr>
              <w:t xml:space="preserve"> </w:t>
            </w:r>
            <w:proofErr w:type="spellStart"/>
            <w:r>
              <w:rPr>
                <w:b/>
                <w:sz w:val="18"/>
              </w:rPr>
              <w:t>δεκ</w:t>
            </w:r>
            <w:proofErr w:type="spellEnd"/>
            <w:r>
              <w:rPr>
                <w:b/>
                <w:sz w:val="18"/>
              </w:rPr>
              <w:t xml:space="preserve">αήμερο </w:t>
            </w:r>
            <w:proofErr w:type="spellStart"/>
            <w:r>
              <w:rPr>
                <w:b/>
                <w:sz w:val="18"/>
              </w:rPr>
              <w:t>VaR</w:t>
            </w:r>
            <w:proofErr w:type="spellEnd"/>
          </w:p>
        </w:tc>
        <w:tc>
          <w:tcPr>
            <w:tcW w:w="1824" w:type="dxa"/>
            <w:shd w:val="clear" w:color="auto" w:fill="D9EAF7"/>
            <w:vAlign w:val="center"/>
          </w:tcPr>
          <w:p w14:paraId="2D715F6B" w14:textId="77777777" w:rsidR="00FC097F" w:rsidRDefault="00FC097F" w:rsidP="000951C1">
            <w:pPr>
              <w:jc w:val="center"/>
            </w:pPr>
            <w:proofErr w:type="spellStart"/>
            <w:r>
              <w:rPr>
                <w:b/>
                <w:sz w:val="18"/>
              </w:rPr>
              <w:t>Ελάχιστο</w:t>
            </w:r>
            <w:proofErr w:type="spellEnd"/>
            <w:r>
              <w:rPr>
                <w:b/>
                <w:sz w:val="18"/>
              </w:rPr>
              <w:t xml:space="preserve"> </w:t>
            </w:r>
            <w:proofErr w:type="spellStart"/>
            <w:r>
              <w:rPr>
                <w:b/>
                <w:sz w:val="18"/>
              </w:rPr>
              <w:t>δεκ</w:t>
            </w:r>
            <w:proofErr w:type="spellEnd"/>
            <w:r>
              <w:rPr>
                <w:b/>
                <w:sz w:val="18"/>
              </w:rPr>
              <w:t xml:space="preserve">αήμερο </w:t>
            </w:r>
            <w:proofErr w:type="spellStart"/>
            <w:r>
              <w:rPr>
                <w:b/>
                <w:sz w:val="18"/>
              </w:rPr>
              <w:t>VaR</w:t>
            </w:r>
            <w:proofErr w:type="spellEnd"/>
          </w:p>
        </w:tc>
        <w:tc>
          <w:tcPr>
            <w:tcW w:w="1824" w:type="dxa"/>
            <w:shd w:val="clear" w:color="auto" w:fill="D9EAF7"/>
            <w:vAlign w:val="center"/>
          </w:tcPr>
          <w:p w14:paraId="71664E8E" w14:textId="77777777" w:rsidR="00FC097F" w:rsidRDefault="00FC097F" w:rsidP="000951C1">
            <w:pPr>
              <w:jc w:val="center"/>
            </w:pPr>
            <w:proofErr w:type="spellStart"/>
            <w:r>
              <w:rPr>
                <w:b/>
                <w:sz w:val="18"/>
              </w:rPr>
              <w:t>Μέγιστο</w:t>
            </w:r>
            <w:proofErr w:type="spellEnd"/>
            <w:r>
              <w:rPr>
                <w:b/>
                <w:sz w:val="18"/>
              </w:rPr>
              <w:t xml:space="preserve"> </w:t>
            </w:r>
            <w:proofErr w:type="spellStart"/>
            <w:r>
              <w:rPr>
                <w:b/>
                <w:sz w:val="18"/>
              </w:rPr>
              <w:t>δεκ</w:t>
            </w:r>
            <w:proofErr w:type="spellEnd"/>
            <w:r>
              <w:rPr>
                <w:b/>
                <w:sz w:val="18"/>
              </w:rPr>
              <w:t xml:space="preserve">αήμερο </w:t>
            </w:r>
            <w:proofErr w:type="spellStart"/>
            <w:r>
              <w:rPr>
                <w:b/>
                <w:sz w:val="18"/>
              </w:rPr>
              <w:t>VaR</w:t>
            </w:r>
            <w:proofErr w:type="spellEnd"/>
          </w:p>
        </w:tc>
        <w:tc>
          <w:tcPr>
            <w:tcW w:w="1824" w:type="dxa"/>
            <w:shd w:val="clear" w:color="auto" w:fill="D9EAF7"/>
            <w:vAlign w:val="center"/>
          </w:tcPr>
          <w:p w14:paraId="7CE090BF" w14:textId="77777777" w:rsidR="00FC097F" w:rsidRDefault="00FC097F" w:rsidP="000951C1">
            <w:pPr>
              <w:jc w:val="center"/>
            </w:pPr>
            <w:proofErr w:type="spellStart"/>
            <w:r>
              <w:rPr>
                <w:b/>
                <w:sz w:val="18"/>
              </w:rPr>
              <w:t>Μέσο</w:t>
            </w:r>
            <w:proofErr w:type="spellEnd"/>
            <w:r>
              <w:rPr>
                <w:b/>
                <w:sz w:val="18"/>
              </w:rPr>
              <w:t xml:space="preserve"> </w:t>
            </w:r>
            <w:proofErr w:type="spellStart"/>
            <w:r>
              <w:rPr>
                <w:b/>
                <w:sz w:val="18"/>
              </w:rPr>
              <w:t>δεκ</w:t>
            </w:r>
            <w:proofErr w:type="spellEnd"/>
            <w:r>
              <w:rPr>
                <w:b/>
                <w:sz w:val="18"/>
              </w:rPr>
              <w:t xml:space="preserve">αήμερο </w:t>
            </w:r>
            <w:proofErr w:type="spellStart"/>
            <w:r>
              <w:rPr>
                <w:b/>
                <w:sz w:val="18"/>
              </w:rPr>
              <w:t>VaR</w:t>
            </w:r>
            <w:proofErr w:type="spellEnd"/>
            <w:r>
              <w:rPr>
                <w:b/>
                <w:sz w:val="18"/>
              </w:rPr>
              <w:t xml:space="preserve"> </w:t>
            </w:r>
            <w:proofErr w:type="spellStart"/>
            <w:r>
              <w:rPr>
                <w:b/>
                <w:sz w:val="18"/>
              </w:rPr>
              <w:t>σε</w:t>
            </w:r>
            <w:proofErr w:type="spellEnd"/>
            <w:r>
              <w:rPr>
                <w:b/>
                <w:sz w:val="18"/>
              </w:rPr>
              <w:t xml:space="preserve"> €</w:t>
            </w:r>
          </w:p>
        </w:tc>
      </w:tr>
      <w:tr w:rsidR="00FC097F" w14:paraId="552B392D" w14:textId="77777777" w:rsidTr="000951C1">
        <w:trPr>
          <w:cantSplit/>
          <w:jc w:val="center"/>
        </w:trPr>
        <w:tc>
          <w:tcPr>
            <w:tcW w:w="1824" w:type="dxa"/>
            <w:vAlign w:val="center"/>
          </w:tcPr>
          <w:p w14:paraId="6E8B7971" w14:textId="77777777" w:rsidR="00FC097F" w:rsidRDefault="00FC097F" w:rsidP="000951C1">
            <w:pPr>
              <w:jc w:val="center"/>
            </w:pPr>
            <w:r>
              <w:rPr>
                <w:sz w:val="18"/>
              </w:rPr>
              <w:t xml:space="preserve">EWMA </w:t>
            </w:r>
            <w:proofErr w:type="spellStart"/>
            <w:r>
              <w:rPr>
                <w:sz w:val="18"/>
              </w:rPr>
              <w:t>VaR</w:t>
            </w:r>
            <w:proofErr w:type="spellEnd"/>
            <w:r>
              <w:rPr>
                <w:sz w:val="18"/>
              </w:rPr>
              <w:t xml:space="preserve"> 10 </w:t>
            </w:r>
            <w:proofErr w:type="spellStart"/>
            <w:r>
              <w:rPr>
                <w:sz w:val="18"/>
              </w:rPr>
              <w:t>ημερών</w:t>
            </w:r>
            <w:proofErr w:type="spellEnd"/>
          </w:p>
        </w:tc>
        <w:tc>
          <w:tcPr>
            <w:tcW w:w="1824" w:type="dxa"/>
            <w:vAlign w:val="center"/>
          </w:tcPr>
          <w:p w14:paraId="77BEE706" w14:textId="77777777" w:rsidR="00FC097F" w:rsidRDefault="00FC097F" w:rsidP="000951C1">
            <w:pPr>
              <w:jc w:val="center"/>
            </w:pPr>
            <w:r>
              <w:rPr>
                <w:sz w:val="18"/>
              </w:rPr>
              <w:t>6,92%</w:t>
            </w:r>
          </w:p>
        </w:tc>
        <w:tc>
          <w:tcPr>
            <w:tcW w:w="1824" w:type="dxa"/>
            <w:vAlign w:val="center"/>
          </w:tcPr>
          <w:p w14:paraId="71B1BE7F" w14:textId="77777777" w:rsidR="00FC097F" w:rsidRDefault="00FC097F" w:rsidP="000951C1">
            <w:pPr>
              <w:jc w:val="center"/>
            </w:pPr>
            <w:r>
              <w:rPr>
                <w:sz w:val="18"/>
              </w:rPr>
              <w:t>3,67%</w:t>
            </w:r>
          </w:p>
        </w:tc>
        <w:tc>
          <w:tcPr>
            <w:tcW w:w="1824" w:type="dxa"/>
            <w:vAlign w:val="center"/>
          </w:tcPr>
          <w:p w14:paraId="4AE60EF0" w14:textId="77777777" w:rsidR="00FC097F" w:rsidRDefault="00FC097F" w:rsidP="000951C1">
            <w:pPr>
              <w:jc w:val="center"/>
            </w:pPr>
            <w:r>
              <w:rPr>
                <w:sz w:val="18"/>
              </w:rPr>
              <w:t>16,44%</w:t>
            </w:r>
          </w:p>
        </w:tc>
        <w:tc>
          <w:tcPr>
            <w:tcW w:w="1824" w:type="dxa"/>
            <w:vAlign w:val="center"/>
          </w:tcPr>
          <w:p w14:paraId="76D7F051" w14:textId="77777777" w:rsidR="00FC097F" w:rsidRDefault="00FC097F" w:rsidP="000951C1">
            <w:pPr>
              <w:jc w:val="center"/>
            </w:pPr>
            <w:r>
              <w:rPr>
                <w:sz w:val="18"/>
              </w:rPr>
              <w:t>69.197</w:t>
            </w:r>
          </w:p>
        </w:tc>
      </w:tr>
      <w:tr w:rsidR="00FC097F" w14:paraId="4F6E32AA" w14:textId="77777777" w:rsidTr="000951C1">
        <w:trPr>
          <w:cantSplit/>
          <w:jc w:val="center"/>
        </w:trPr>
        <w:tc>
          <w:tcPr>
            <w:tcW w:w="1824" w:type="dxa"/>
            <w:shd w:val="clear" w:color="auto" w:fill="F7F7F7"/>
            <w:vAlign w:val="center"/>
          </w:tcPr>
          <w:p w14:paraId="763D66F6" w14:textId="77777777" w:rsidR="00FC097F" w:rsidRDefault="00FC097F" w:rsidP="000951C1">
            <w:pPr>
              <w:jc w:val="center"/>
            </w:pPr>
            <w:r>
              <w:rPr>
                <w:sz w:val="18"/>
              </w:rPr>
              <w:t xml:space="preserve">Historical </w:t>
            </w:r>
            <w:proofErr w:type="spellStart"/>
            <w:r>
              <w:rPr>
                <w:sz w:val="18"/>
              </w:rPr>
              <w:t>VaR</w:t>
            </w:r>
            <w:proofErr w:type="spellEnd"/>
            <w:r>
              <w:rPr>
                <w:sz w:val="18"/>
              </w:rPr>
              <w:t xml:space="preserve"> 10 </w:t>
            </w:r>
            <w:proofErr w:type="spellStart"/>
            <w:r>
              <w:rPr>
                <w:sz w:val="18"/>
              </w:rPr>
              <w:t>ημερών</w:t>
            </w:r>
            <w:proofErr w:type="spellEnd"/>
          </w:p>
        </w:tc>
        <w:tc>
          <w:tcPr>
            <w:tcW w:w="1824" w:type="dxa"/>
            <w:shd w:val="clear" w:color="auto" w:fill="F7F7F7"/>
            <w:vAlign w:val="center"/>
          </w:tcPr>
          <w:p w14:paraId="2CA3CF9F" w14:textId="77777777" w:rsidR="00FC097F" w:rsidRDefault="00FC097F" w:rsidP="000951C1">
            <w:pPr>
              <w:jc w:val="center"/>
            </w:pPr>
            <w:r>
              <w:rPr>
                <w:sz w:val="18"/>
              </w:rPr>
              <w:t>8,74%</w:t>
            </w:r>
          </w:p>
        </w:tc>
        <w:tc>
          <w:tcPr>
            <w:tcW w:w="1824" w:type="dxa"/>
            <w:shd w:val="clear" w:color="auto" w:fill="F7F7F7"/>
            <w:vAlign w:val="center"/>
          </w:tcPr>
          <w:p w14:paraId="2360E21A" w14:textId="77777777" w:rsidR="00FC097F" w:rsidRDefault="00FC097F" w:rsidP="000951C1">
            <w:pPr>
              <w:jc w:val="center"/>
            </w:pPr>
            <w:r>
              <w:rPr>
                <w:sz w:val="18"/>
              </w:rPr>
              <w:t>4,74%</w:t>
            </w:r>
          </w:p>
        </w:tc>
        <w:tc>
          <w:tcPr>
            <w:tcW w:w="1824" w:type="dxa"/>
            <w:shd w:val="clear" w:color="auto" w:fill="F7F7F7"/>
            <w:vAlign w:val="center"/>
          </w:tcPr>
          <w:p w14:paraId="56CEC308" w14:textId="77777777" w:rsidR="00FC097F" w:rsidRDefault="00FC097F" w:rsidP="000951C1">
            <w:pPr>
              <w:jc w:val="center"/>
            </w:pPr>
            <w:r>
              <w:rPr>
                <w:sz w:val="18"/>
              </w:rPr>
              <w:t>25,74%</w:t>
            </w:r>
          </w:p>
        </w:tc>
        <w:tc>
          <w:tcPr>
            <w:tcW w:w="1824" w:type="dxa"/>
            <w:shd w:val="clear" w:color="auto" w:fill="F7F7F7"/>
            <w:vAlign w:val="center"/>
          </w:tcPr>
          <w:p w14:paraId="551CDD9A" w14:textId="77777777" w:rsidR="00FC097F" w:rsidRDefault="00FC097F" w:rsidP="000951C1">
            <w:pPr>
              <w:jc w:val="center"/>
            </w:pPr>
            <w:r>
              <w:rPr>
                <w:sz w:val="18"/>
              </w:rPr>
              <w:t>87.371</w:t>
            </w:r>
          </w:p>
        </w:tc>
      </w:tr>
    </w:tbl>
    <w:p w14:paraId="0E7884BC" w14:textId="77777777" w:rsidR="001002F4" w:rsidRDefault="001002F4" w:rsidP="00FC097F">
      <w:pPr>
        <w:pStyle w:val="af"/>
        <w:rPr>
          <w:lang w:val="el-GR"/>
        </w:rPr>
      </w:pPr>
    </w:p>
    <w:p w14:paraId="519A75CE" w14:textId="7A36416A" w:rsidR="00FC097F" w:rsidRPr="005B30C1" w:rsidRDefault="00FC097F" w:rsidP="00FC097F">
      <w:pPr>
        <w:pStyle w:val="af"/>
        <w:rPr>
          <w:lang w:val="el-GR"/>
        </w:rPr>
      </w:pPr>
      <w:r w:rsidRPr="005B30C1">
        <w:rPr>
          <w:lang w:val="el-GR"/>
        </w:rPr>
        <w:t xml:space="preserve">Στο δείγμα </w:t>
      </w:r>
      <w:proofErr w:type="spellStart"/>
      <w:r>
        <w:t>backtesting</w:t>
      </w:r>
      <w:proofErr w:type="spellEnd"/>
      <w:r w:rsidRPr="005B30C1">
        <w:rPr>
          <w:lang w:val="el-GR"/>
        </w:rPr>
        <w:t xml:space="preserve">, η μέση ημερήσια </w:t>
      </w:r>
      <w:r>
        <w:t>EWMA</w:t>
      </w:r>
      <w:r w:rsidRPr="005B30C1">
        <w:rPr>
          <w:lang w:val="el-GR"/>
        </w:rPr>
        <w:t xml:space="preserve"> </w:t>
      </w:r>
      <w:proofErr w:type="spellStart"/>
      <w:r>
        <w:t>VaR</w:t>
      </w:r>
      <w:proofErr w:type="spellEnd"/>
      <w:r w:rsidRPr="005B30C1">
        <w:rPr>
          <w:lang w:val="el-GR"/>
        </w:rPr>
        <w:t xml:space="preserve"> του αρχικού χαρτοφυλακίου ανέρχεται σε 2,19%, ενώ η μέση </w:t>
      </w:r>
      <w:r>
        <w:t>Historical</w:t>
      </w:r>
      <w:r w:rsidRPr="005B30C1">
        <w:rPr>
          <w:lang w:val="el-GR"/>
        </w:rPr>
        <w:t xml:space="preserve"> </w:t>
      </w:r>
      <w:proofErr w:type="spellStart"/>
      <w:r>
        <w:t>VaR</w:t>
      </w:r>
      <w:proofErr w:type="spellEnd"/>
      <w:r w:rsidRPr="005B30C1">
        <w:rPr>
          <w:lang w:val="el-GR"/>
        </w:rPr>
        <w:t xml:space="preserve"> ανέρχεται σε 2,76%. Η διαφορά αυτή είναι ερμηνευτικά σημαντική. Η </w:t>
      </w:r>
      <w:r>
        <w:t>EWMA</w:t>
      </w:r>
      <w:r w:rsidRPr="005B30C1">
        <w:rPr>
          <w:lang w:val="el-GR"/>
        </w:rPr>
        <w:t xml:space="preserve"> αντιδρά στη μεταβολή της πρόσφατης μεταβλητότητας, αλλά βασίζεται σε </w:t>
      </w:r>
      <w:proofErr w:type="spellStart"/>
      <w:r w:rsidRPr="005B30C1">
        <w:rPr>
          <w:lang w:val="el-GR"/>
        </w:rPr>
        <w:t>κανονικοποιημένη</w:t>
      </w:r>
      <w:proofErr w:type="spellEnd"/>
      <w:r w:rsidRPr="005B30C1">
        <w:rPr>
          <w:lang w:val="el-GR"/>
        </w:rPr>
        <w:t xml:space="preserve"> προσέγγιση της διακύμανσης. Η </w:t>
      </w:r>
      <w:r>
        <w:t>Historical</w:t>
      </w:r>
      <w:r w:rsidRPr="005B30C1">
        <w:rPr>
          <w:lang w:val="el-GR"/>
        </w:rPr>
        <w:t xml:space="preserve"> </w:t>
      </w:r>
      <w:proofErr w:type="spellStart"/>
      <w:r>
        <w:t>VaR</w:t>
      </w:r>
      <w:proofErr w:type="spellEnd"/>
      <w:r w:rsidRPr="005B30C1">
        <w:rPr>
          <w:lang w:val="el-GR"/>
        </w:rPr>
        <w:t xml:space="preserve"> χρησιμοποιεί το εμπειρικό </w:t>
      </w:r>
      <w:proofErr w:type="spellStart"/>
      <w:r w:rsidRPr="005B30C1">
        <w:rPr>
          <w:lang w:val="el-GR"/>
        </w:rPr>
        <w:t>ποσοστημόριο</w:t>
      </w:r>
      <w:proofErr w:type="spellEnd"/>
      <w:r w:rsidRPr="005B30C1">
        <w:rPr>
          <w:lang w:val="el-GR"/>
        </w:rPr>
        <w:t xml:space="preserve"> των προηγούμενων 250 αποδόσεων και επομένως επηρεάζεται περισσότερο όταν στο παράθυρο υπάρχουν έντονες αρνητικές παρατηρήσεις.</w:t>
      </w:r>
    </w:p>
    <w:p w14:paraId="2DA635B5" w14:textId="77777777" w:rsidR="00FC097F" w:rsidRPr="005B30C1" w:rsidRDefault="00FC097F" w:rsidP="00FC097F">
      <w:pPr>
        <w:pStyle w:val="af"/>
        <w:rPr>
          <w:lang w:val="el-GR"/>
        </w:rPr>
      </w:pPr>
      <w:r w:rsidRPr="005B30C1">
        <w:rPr>
          <w:lang w:val="el-GR"/>
        </w:rPr>
        <w:t xml:space="preserve">Σε χρηματικούς όρους, για ενδεικτική αξία χαρτοφυλακίου 1.000.000 ευρώ, η μέση ημερήσια </w:t>
      </w:r>
      <w:r>
        <w:t>EWMA</w:t>
      </w:r>
      <w:r w:rsidRPr="005B30C1">
        <w:rPr>
          <w:lang w:val="el-GR"/>
        </w:rPr>
        <w:t xml:space="preserve"> </w:t>
      </w:r>
      <w:proofErr w:type="spellStart"/>
      <w:r>
        <w:t>VaR</w:t>
      </w:r>
      <w:proofErr w:type="spellEnd"/>
      <w:r w:rsidRPr="005B30C1">
        <w:rPr>
          <w:lang w:val="el-GR"/>
        </w:rPr>
        <w:t xml:space="preserve"> αντιστοιχεί σε δυνητική ημερήσια ζημία περίπου 21.882 ευρώ στο επίπεδο εμπιστοσύνης 99%, ενώ η αντίστοιχη </w:t>
      </w:r>
      <w:r>
        <w:t>Historical</w:t>
      </w:r>
      <w:r w:rsidRPr="005B30C1">
        <w:rPr>
          <w:lang w:val="el-GR"/>
        </w:rPr>
        <w:t xml:space="preserve"> </w:t>
      </w:r>
      <w:proofErr w:type="spellStart"/>
      <w:r>
        <w:t>VaR</w:t>
      </w:r>
      <w:proofErr w:type="spellEnd"/>
      <w:r w:rsidRPr="005B30C1">
        <w:rPr>
          <w:lang w:val="el-GR"/>
        </w:rPr>
        <w:t xml:space="preserve"> σε περίπου 27.629 ευρώ. Σε δεκαήμερο ορίζοντα, τα ποσά αυξάνονται σημαντικά, επειδή εφαρμόζεται ο παράγοντας τετραγωνικής ρίζας του χρόνου. Η παρουσίαση σε ευρώ είναι χρήσιμη διότι μετατρέπει το ποσοστό κινδύνου σε μέγεθος που μπορεί να συνδεθεί με διοικητικά όρια, κεφάλαια και πραγματική ανοχή ζημίας.</w:t>
      </w:r>
    </w:p>
    <w:p w14:paraId="5C671A5F" w14:textId="77777777" w:rsidR="00FC097F" w:rsidRPr="005B30C1" w:rsidRDefault="00FC097F" w:rsidP="00321E2E">
      <w:pPr>
        <w:pStyle w:val="21"/>
        <w:rPr>
          <w:lang w:val="el-GR"/>
        </w:rPr>
      </w:pPr>
      <w:bookmarkStart w:id="61" w:name="_Toc232171091"/>
      <w:bookmarkStart w:id="62" w:name="backtesting-του-αρχικού-χαρτοφυλακίου"/>
      <w:bookmarkEnd w:id="60"/>
      <w:r w:rsidRPr="005B30C1">
        <w:rPr>
          <w:rFonts w:eastAsia="Times New Roman"/>
          <w:lang w:val="el-GR"/>
        </w:rPr>
        <w:t xml:space="preserve">4.3 </w:t>
      </w:r>
      <w:proofErr w:type="spellStart"/>
      <w:r>
        <w:rPr>
          <w:rFonts w:eastAsia="Times New Roman"/>
        </w:rPr>
        <w:t>Backtesting</w:t>
      </w:r>
      <w:proofErr w:type="spellEnd"/>
      <w:r w:rsidRPr="005B30C1">
        <w:rPr>
          <w:rFonts w:eastAsia="Times New Roman"/>
          <w:lang w:val="el-GR"/>
        </w:rPr>
        <w:t xml:space="preserve"> του αρχικού χαρτοφυλακίου</w:t>
      </w:r>
      <w:bookmarkEnd w:id="61"/>
    </w:p>
    <w:p w14:paraId="7A6BA27F" w14:textId="77777777" w:rsidR="00FC097F" w:rsidRPr="005B30C1" w:rsidRDefault="00FC097F" w:rsidP="00FC097F">
      <w:pPr>
        <w:ind w:firstLine="357"/>
        <w:rPr>
          <w:lang w:val="el-GR"/>
        </w:rPr>
      </w:pPr>
      <w:r w:rsidRPr="005B30C1">
        <w:rPr>
          <w:lang w:val="el-GR"/>
        </w:rPr>
        <w:t xml:space="preserve">Το κρίσιμο ερώτημα δεν είναι μόνο πόσο υψηλό είναι το </w:t>
      </w:r>
      <w:proofErr w:type="spellStart"/>
      <w:r>
        <w:t>VaR</w:t>
      </w:r>
      <w:proofErr w:type="spellEnd"/>
      <w:r w:rsidRPr="005B30C1">
        <w:rPr>
          <w:lang w:val="el-GR"/>
        </w:rPr>
        <w:t xml:space="preserve">, αλλά αν οι προβλέψεις του είναι στατιστικά αξιόπιστες. Για τον λόγο αυτό εφαρμόζεται </w:t>
      </w:r>
      <w:proofErr w:type="spellStart"/>
      <w:r>
        <w:t>backtesting</w:t>
      </w:r>
      <w:proofErr w:type="spellEnd"/>
      <w:r w:rsidRPr="005B30C1">
        <w:rPr>
          <w:lang w:val="el-GR"/>
        </w:rPr>
        <w:t xml:space="preserve"> με τον έλεγχο </w:t>
      </w:r>
      <w:r>
        <w:t>Kupiec</w:t>
      </w:r>
      <w:r w:rsidRPr="005B30C1">
        <w:rPr>
          <w:lang w:val="el-GR"/>
        </w:rPr>
        <w:t>. Σε επίπεδο εμπιστοσύνης 99%, η αναμενόμενη συχνότητα εξαιρέσεων είναι 1%. Για 1.258 ημερήσιες παρατηρήσεις αναμένονται περίπου 12,58 εξαιρέσεις.</w:t>
      </w:r>
    </w:p>
    <w:p w14:paraId="0E45E93C" w14:textId="77777777" w:rsidR="00FC097F" w:rsidRDefault="00FC097F" w:rsidP="00FC097F">
      <w:pPr>
        <w:pStyle w:val="af3"/>
        <w:keepNext/>
        <w:pageBreakBefore/>
        <w:spacing w:after="60"/>
        <w:jc w:val="center"/>
      </w:pPr>
      <w:proofErr w:type="spellStart"/>
      <w:r>
        <w:lastRenderedPageBreak/>
        <w:t>Πίν</w:t>
      </w:r>
      <w:proofErr w:type="spellEnd"/>
      <w:r>
        <w:t xml:space="preserve">ακας 4.4: </w:t>
      </w:r>
      <w:proofErr w:type="spellStart"/>
      <w:r>
        <w:t>Backtesting</w:t>
      </w:r>
      <w:proofErr w:type="spellEnd"/>
      <w:r>
        <w:t xml:space="preserve"> α</w:t>
      </w:r>
      <w:proofErr w:type="spellStart"/>
      <w:r>
        <w:t>ρχικού</w:t>
      </w:r>
      <w:proofErr w:type="spellEnd"/>
      <w:r>
        <w:t xml:space="preserve"> χα</w:t>
      </w:r>
      <w:proofErr w:type="spellStart"/>
      <w:r>
        <w:t>ρτοφυλ</w:t>
      </w:r>
      <w:proofErr w:type="spellEnd"/>
      <w:r>
        <w:t>ακίου</w:t>
      </w:r>
    </w:p>
    <w:tbl>
      <w:tblPr>
        <w:tblStyle w:val="afa"/>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69"/>
        <w:gridCol w:w="1344"/>
        <w:gridCol w:w="1289"/>
        <w:gridCol w:w="1232"/>
        <w:gridCol w:w="1123"/>
        <w:gridCol w:w="976"/>
        <w:gridCol w:w="998"/>
        <w:gridCol w:w="1081"/>
      </w:tblGrid>
      <w:tr w:rsidR="00FC097F" w14:paraId="79F8E2B0" w14:textId="77777777" w:rsidTr="000951C1">
        <w:trPr>
          <w:cantSplit/>
          <w:tblHeader/>
          <w:jc w:val="center"/>
        </w:trPr>
        <w:tc>
          <w:tcPr>
            <w:tcW w:w="1140" w:type="dxa"/>
            <w:shd w:val="clear" w:color="auto" w:fill="D9EAF7"/>
            <w:vAlign w:val="center"/>
          </w:tcPr>
          <w:p w14:paraId="2B116975" w14:textId="77777777" w:rsidR="00FC097F" w:rsidRDefault="00FC097F" w:rsidP="000951C1">
            <w:pPr>
              <w:jc w:val="center"/>
            </w:pPr>
            <w:proofErr w:type="spellStart"/>
            <w:r>
              <w:rPr>
                <w:b/>
                <w:sz w:val="18"/>
              </w:rPr>
              <w:t>Μέθοδος</w:t>
            </w:r>
            <w:proofErr w:type="spellEnd"/>
          </w:p>
        </w:tc>
        <w:tc>
          <w:tcPr>
            <w:tcW w:w="1140" w:type="dxa"/>
            <w:shd w:val="clear" w:color="auto" w:fill="D9EAF7"/>
            <w:vAlign w:val="center"/>
          </w:tcPr>
          <w:p w14:paraId="56076BFE" w14:textId="77777777" w:rsidR="00FC097F" w:rsidRDefault="00FC097F" w:rsidP="000951C1">
            <w:pPr>
              <w:jc w:val="center"/>
            </w:pPr>
            <w:r>
              <w:rPr>
                <w:b/>
                <w:sz w:val="18"/>
              </w:rPr>
              <w:t>Παρα</w:t>
            </w:r>
            <w:proofErr w:type="spellStart"/>
            <w:r>
              <w:rPr>
                <w:b/>
                <w:sz w:val="18"/>
              </w:rPr>
              <w:t>τηρήσεις</w:t>
            </w:r>
            <w:proofErr w:type="spellEnd"/>
          </w:p>
        </w:tc>
        <w:tc>
          <w:tcPr>
            <w:tcW w:w="1140" w:type="dxa"/>
            <w:shd w:val="clear" w:color="auto" w:fill="D9EAF7"/>
            <w:vAlign w:val="center"/>
          </w:tcPr>
          <w:p w14:paraId="75C6DBD7" w14:textId="77777777" w:rsidR="00FC097F" w:rsidRDefault="00FC097F" w:rsidP="000951C1">
            <w:pPr>
              <w:jc w:val="center"/>
            </w:pPr>
            <w:proofErr w:type="spellStart"/>
            <w:r>
              <w:rPr>
                <w:b/>
                <w:sz w:val="18"/>
              </w:rPr>
              <w:t>Αν</w:t>
            </w:r>
            <w:proofErr w:type="spellEnd"/>
            <w:r>
              <w:rPr>
                <w:b/>
                <w:sz w:val="18"/>
              </w:rPr>
              <w:t xml:space="preserve">αμενόμενες </w:t>
            </w:r>
            <w:proofErr w:type="spellStart"/>
            <w:r>
              <w:rPr>
                <w:b/>
                <w:sz w:val="18"/>
              </w:rPr>
              <w:t>εξ</w:t>
            </w:r>
            <w:proofErr w:type="spellEnd"/>
            <w:r>
              <w:rPr>
                <w:b/>
                <w:sz w:val="18"/>
              </w:rPr>
              <w:t>αιρέσεις</w:t>
            </w:r>
          </w:p>
        </w:tc>
        <w:tc>
          <w:tcPr>
            <w:tcW w:w="1140" w:type="dxa"/>
            <w:shd w:val="clear" w:color="auto" w:fill="D9EAF7"/>
            <w:vAlign w:val="center"/>
          </w:tcPr>
          <w:p w14:paraId="68ECCEE0" w14:textId="77777777" w:rsidR="00FC097F" w:rsidRDefault="00FC097F" w:rsidP="000951C1">
            <w:pPr>
              <w:jc w:val="center"/>
            </w:pPr>
            <w:proofErr w:type="spellStart"/>
            <w:r>
              <w:rPr>
                <w:b/>
                <w:sz w:val="18"/>
              </w:rPr>
              <w:t>Πρ</w:t>
            </w:r>
            <w:proofErr w:type="spellEnd"/>
            <w:r>
              <w:rPr>
                <w:b/>
                <w:sz w:val="18"/>
              </w:rPr>
              <w:t xml:space="preserve">αγματικές </w:t>
            </w:r>
            <w:proofErr w:type="spellStart"/>
            <w:r>
              <w:rPr>
                <w:b/>
                <w:sz w:val="18"/>
              </w:rPr>
              <w:t>εξ</w:t>
            </w:r>
            <w:proofErr w:type="spellEnd"/>
            <w:r>
              <w:rPr>
                <w:b/>
                <w:sz w:val="18"/>
              </w:rPr>
              <w:t>αιρέσεις</w:t>
            </w:r>
          </w:p>
        </w:tc>
        <w:tc>
          <w:tcPr>
            <w:tcW w:w="1140" w:type="dxa"/>
            <w:shd w:val="clear" w:color="auto" w:fill="D9EAF7"/>
            <w:vAlign w:val="center"/>
          </w:tcPr>
          <w:p w14:paraId="5FC9464F" w14:textId="77777777" w:rsidR="00FC097F" w:rsidRDefault="00FC097F" w:rsidP="000951C1">
            <w:pPr>
              <w:jc w:val="center"/>
            </w:pPr>
            <w:proofErr w:type="spellStart"/>
            <w:r>
              <w:rPr>
                <w:b/>
                <w:sz w:val="18"/>
              </w:rPr>
              <w:t>Ποσοστό</w:t>
            </w:r>
            <w:proofErr w:type="spellEnd"/>
            <w:r>
              <w:rPr>
                <w:b/>
                <w:sz w:val="18"/>
              </w:rPr>
              <w:t xml:space="preserve"> </w:t>
            </w:r>
            <w:proofErr w:type="spellStart"/>
            <w:r>
              <w:rPr>
                <w:b/>
                <w:sz w:val="18"/>
              </w:rPr>
              <w:t>εξ</w:t>
            </w:r>
            <w:proofErr w:type="spellEnd"/>
            <w:r>
              <w:rPr>
                <w:b/>
                <w:sz w:val="18"/>
              </w:rPr>
              <w:t>αιρέσεων</w:t>
            </w:r>
          </w:p>
        </w:tc>
        <w:tc>
          <w:tcPr>
            <w:tcW w:w="1140" w:type="dxa"/>
            <w:shd w:val="clear" w:color="auto" w:fill="D9EAF7"/>
            <w:vAlign w:val="center"/>
          </w:tcPr>
          <w:p w14:paraId="479B23DC" w14:textId="77777777" w:rsidR="00FC097F" w:rsidRDefault="00FC097F" w:rsidP="000951C1">
            <w:pPr>
              <w:jc w:val="center"/>
            </w:pPr>
            <w:proofErr w:type="spellStart"/>
            <w:r>
              <w:rPr>
                <w:b/>
                <w:sz w:val="18"/>
              </w:rPr>
              <w:t>LRuc</w:t>
            </w:r>
            <w:proofErr w:type="spellEnd"/>
          </w:p>
        </w:tc>
        <w:tc>
          <w:tcPr>
            <w:tcW w:w="1140" w:type="dxa"/>
            <w:shd w:val="clear" w:color="auto" w:fill="D9EAF7"/>
            <w:vAlign w:val="center"/>
          </w:tcPr>
          <w:p w14:paraId="25BB7CA0" w14:textId="77777777" w:rsidR="00FC097F" w:rsidRDefault="00FC097F" w:rsidP="000951C1">
            <w:pPr>
              <w:jc w:val="center"/>
            </w:pPr>
            <w:r>
              <w:rPr>
                <w:b/>
                <w:sz w:val="18"/>
              </w:rPr>
              <w:t>p-value</w:t>
            </w:r>
          </w:p>
        </w:tc>
        <w:tc>
          <w:tcPr>
            <w:tcW w:w="1140" w:type="dxa"/>
            <w:shd w:val="clear" w:color="auto" w:fill="D9EAF7"/>
            <w:vAlign w:val="center"/>
          </w:tcPr>
          <w:p w14:paraId="24A8C777" w14:textId="77777777" w:rsidR="00FC097F" w:rsidRDefault="00FC097F" w:rsidP="000951C1">
            <w:pPr>
              <w:jc w:val="center"/>
            </w:pPr>
            <w:r>
              <w:rPr>
                <w:b/>
                <w:sz w:val="18"/>
              </w:rPr>
              <w:t>Απ</w:t>
            </w:r>
            <w:proofErr w:type="spellStart"/>
            <w:r>
              <w:rPr>
                <w:b/>
                <w:sz w:val="18"/>
              </w:rPr>
              <w:t>όφ</w:t>
            </w:r>
            <w:proofErr w:type="spellEnd"/>
            <w:r>
              <w:rPr>
                <w:b/>
                <w:sz w:val="18"/>
              </w:rPr>
              <w:t>αση</w:t>
            </w:r>
          </w:p>
        </w:tc>
      </w:tr>
      <w:tr w:rsidR="00FC097F" w14:paraId="40C234B0" w14:textId="77777777" w:rsidTr="000951C1">
        <w:trPr>
          <w:cantSplit/>
          <w:jc w:val="center"/>
        </w:trPr>
        <w:tc>
          <w:tcPr>
            <w:tcW w:w="1140" w:type="dxa"/>
            <w:vAlign w:val="center"/>
          </w:tcPr>
          <w:p w14:paraId="5C1D7E8F" w14:textId="77777777" w:rsidR="00FC097F" w:rsidRDefault="00FC097F" w:rsidP="000951C1">
            <w:pPr>
              <w:jc w:val="center"/>
            </w:pPr>
            <w:r>
              <w:rPr>
                <w:sz w:val="18"/>
              </w:rPr>
              <w:t xml:space="preserve">EWMA </w:t>
            </w:r>
            <w:proofErr w:type="spellStart"/>
            <w:r>
              <w:rPr>
                <w:sz w:val="18"/>
              </w:rPr>
              <w:t>VaR</w:t>
            </w:r>
            <w:proofErr w:type="spellEnd"/>
            <w:r>
              <w:rPr>
                <w:sz w:val="18"/>
              </w:rPr>
              <w:t xml:space="preserve"> 99%</w:t>
            </w:r>
          </w:p>
        </w:tc>
        <w:tc>
          <w:tcPr>
            <w:tcW w:w="1140" w:type="dxa"/>
            <w:vAlign w:val="center"/>
          </w:tcPr>
          <w:p w14:paraId="728D2144" w14:textId="77777777" w:rsidR="00FC097F" w:rsidRDefault="00FC097F" w:rsidP="000951C1">
            <w:pPr>
              <w:jc w:val="center"/>
            </w:pPr>
            <w:r>
              <w:rPr>
                <w:sz w:val="18"/>
              </w:rPr>
              <w:t>1.258</w:t>
            </w:r>
          </w:p>
        </w:tc>
        <w:tc>
          <w:tcPr>
            <w:tcW w:w="1140" w:type="dxa"/>
            <w:vAlign w:val="center"/>
          </w:tcPr>
          <w:p w14:paraId="2B422E6E" w14:textId="77777777" w:rsidR="00FC097F" w:rsidRDefault="00FC097F" w:rsidP="000951C1">
            <w:pPr>
              <w:jc w:val="center"/>
            </w:pPr>
            <w:r>
              <w:rPr>
                <w:sz w:val="18"/>
              </w:rPr>
              <w:t>12,58</w:t>
            </w:r>
          </w:p>
        </w:tc>
        <w:tc>
          <w:tcPr>
            <w:tcW w:w="1140" w:type="dxa"/>
            <w:vAlign w:val="center"/>
          </w:tcPr>
          <w:p w14:paraId="24FC0E33" w14:textId="77777777" w:rsidR="00FC097F" w:rsidRDefault="00FC097F" w:rsidP="000951C1">
            <w:pPr>
              <w:jc w:val="center"/>
            </w:pPr>
            <w:r>
              <w:rPr>
                <w:sz w:val="18"/>
              </w:rPr>
              <w:t>29</w:t>
            </w:r>
          </w:p>
        </w:tc>
        <w:tc>
          <w:tcPr>
            <w:tcW w:w="1140" w:type="dxa"/>
            <w:vAlign w:val="center"/>
          </w:tcPr>
          <w:p w14:paraId="74B98501" w14:textId="77777777" w:rsidR="00FC097F" w:rsidRDefault="00FC097F" w:rsidP="000951C1">
            <w:pPr>
              <w:jc w:val="center"/>
            </w:pPr>
            <w:r>
              <w:rPr>
                <w:sz w:val="18"/>
              </w:rPr>
              <w:t>2,31%</w:t>
            </w:r>
          </w:p>
        </w:tc>
        <w:tc>
          <w:tcPr>
            <w:tcW w:w="1140" w:type="dxa"/>
            <w:vAlign w:val="center"/>
          </w:tcPr>
          <w:p w14:paraId="0C306656" w14:textId="77777777" w:rsidR="00FC097F" w:rsidRDefault="00FC097F" w:rsidP="000951C1">
            <w:pPr>
              <w:jc w:val="center"/>
            </w:pPr>
            <w:r>
              <w:rPr>
                <w:sz w:val="18"/>
              </w:rPr>
              <w:t>15,82</w:t>
            </w:r>
          </w:p>
        </w:tc>
        <w:tc>
          <w:tcPr>
            <w:tcW w:w="1140" w:type="dxa"/>
            <w:vAlign w:val="center"/>
          </w:tcPr>
          <w:p w14:paraId="37D2A52B" w14:textId="77777777" w:rsidR="00FC097F" w:rsidRDefault="00FC097F" w:rsidP="000951C1">
            <w:pPr>
              <w:jc w:val="center"/>
            </w:pPr>
            <w:r>
              <w:rPr>
                <w:sz w:val="18"/>
              </w:rPr>
              <w:t>6,97e-5</w:t>
            </w:r>
          </w:p>
        </w:tc>
        <w:tc>
          <w:tcPr>
            <w:tcW w:w="1140" w:type="dxa"/>
            <w:vAlign w:val="center"/>
          </w:tcPr>
          <w:p w14:paraId="271737BE" w14:textId="77777777" w:rsidR="00FC097F" w:rsidRDefault="00FC097F" w:rsidP="000951C1">
            <w:pPr>
              <w:jc w:val="center"/>
            </w:pPr>
            <w:r>
              <w:rPr>
                <w:sz w:val="18"/>
              </w:rPr>
              <w:t>Απ</w:t>
            </w:r>
            <w:proofErr w:type="spellStart"/>
            <w:r>
              <w:rPr>
                <w:sz w:val="18"/>
              </w:rPr>
              <w:t>όρριψη</w:t>
            </w:r>
            <w:proofErr w:type="spellEnd"/>
          </w:p>
        </w:tc>
      </w:tr>
      <w:tr w:rsidR="00FC097F" w14:paraId="659DC5EF" w14:textId="77777777" w:rsidTr="000951C1">
        <w:trPr>
          <w:cantSplit/>
          <w:jc w:val="center"/>
        </w:trPr>
        <w:tc>
          <w:tcPr>
            <w:tcW w:w="1140" w:type="dxa"/>
            <w:shd w:val="clear" w:color="auto" w:fill="F7F7F7"/>
            <w:vAlign w:val="center"/>
          </w:tcPr>
          <w:p w14:paraId="756C1468" w14:textId="77777777" w:rsidR="00FC097F" w:rsidRDefault="00FC097F" w:rsidP="000951C1">
            <w:pPr>
              <w:jc w:val="center"/>
            </w:pPr>
            <w:r>
              <w:rPr>
                <w:sz w:val="18"/>
              </w:rPr>
              <w:t xml:space="preserve">Historical </w:t>
            </w:r>
            <w:proofErr w:type="spellStart"/>
            <w:r>
              <w:rPr>
                <w:sz w:val="18"/>
              </w:rPr>
              <w:t>VaR</w:t>
            </w:r>
            <w:proofErr w:type="spellEnd"/>
            <w:r>
              <w:rPr>
                <w:sz w:val="18"/>
              </w:rPr>
              <w:t xml:space="preserve"> 99%</w:t>
            </w:r>
          </w:p>
        </w:tc>
        <w:tc>
          <w:tcPr>
            <w:tcW w:w="1140" w:type="dxa"/>
            <w:shd w:val="clear" w:color="auto" w:fill="F7F7F7"/>
            <w:vAlign w:val="center"/>
          </w:tcPr>
          <w:p w14:paraId="4E57DD21" w14:textId="77777777" w:rsidR="00FC097F" w:rsidRDefault="00FC097F" w:rsidP="000951C1">
            <w:pPr>
              <w:jc w:val="center"/>
            </w:pPr>
            <w:r>
              <w:rPr>
                <w:sz w:val="18"/>
              </w:rPr>
              <w:t>1.258</w:t>
            </w:r>
          </w:p>
        </w:tc>
        <w:tc>
          <w:tcPr>
            <w:tcW w:w="1140" w:type="dxa"/>
            <w:shd w:val="clear" w:color="auto" w:fill="F7F7F7"/>
            <w:vAlign w:val="center"/>
          </w:tcPr>
          <w:p w14:paraId="1BCB24DD" w14:textId="77777777" w:rsidR="00FC097F" w:rsidRDefault="00FC097F" w:rsidP="000951C1">
            <w:pPr>
              <w:jc w:val="center"/>
            </w:pPr>
            <w:r>
              <w:rPr>
                <w:sz w:val="18"/>
              </w:rPr>
              <w:t>12,58</w:t>
            </w:r>
          </w:p>
        </w:tc>
        <w:tc>
          <w:tcPr>
            <w:tcW w:w="1140" w:type="dxa"/>
            <w:shd w:val="clear" w:color="auto" w:fill="F7F7F7"/>
            <w:vAlign w:val="center"/>
          </w:tcPr>
          <w:p w14:paraId="5B51FF03" w14:textId="77777777" w:rsidR="00FC097F" w:rsidRDefault="00FC097F" w:rsidP="000951C1">
            <w:pPr>
              <w:jc w:val="center"/>
            </w:pPr>
            <w:r>
              <w:rPr>
                <w:sz w:val="18"/>
              </w:rPr>
              <w:t>13</w:t>
            </w:r>
          </w:p>
        </w:tc>
        <w:tc>
          <w:tcPr>
            <w:tcW w:w="1140" w:type="dxa"/>
            <w:shd w:val="clear" w:color="auto" w:fill="F7F7F7"/>
            <w:vAlign w:val="center"/>
          </w:tcPr>
          <w:p w14:paraId="73B0EFED" w14:textId="77777777" w:rsidR="00FC097F" w:rsidRDefault="00FC097F" w:rsidP="000951C1">
            <w:pPr>
              <w:jc w:val="center"/>
            </w:pPr>
            <w:r>
              <w:rPr>
                <w:sz w:val="18"/>
              </w:rPr>
              <w:t>1,03%</w:t>
            </w:r>
          </w:p>
        </w:tc>
        <w:tc>
          <w:tcPr>
            <w:tcW w:w="1140" w:type="dxa"/>
            <w:shd w:val="clear" w:color="auto" w:fill="F7F7F7"/>
            <w:vAlign w:val="center"/>
          </w:tcPr>
          <w:p w14:paraId="65F14F21" w14:textId="77777777" w:rsidR="00FC097F" w:rsidRDefault="00FC097F" w:rsidP="000951C1">
            <w:pPr>
              <w:jc w:val="center"/>
            </w:pPr>
            <w:r>
              <w:rPr>
                <w:sz w:val="18"/>
              </w:rPr>
              <w:t>0,01</w:t>
            </w:r>
          </w:p>
        </w:tc>
        <w:tc>
          <w:tcPr>
            <w:tcW w:w="1140" w:type="dxa"/>
            <w:shd w:val="clear" w:color="auto" w:fill="F7F7F7"/>
            <w:vAlign w:val="center"/>
          </w:tcPr>
          <w:p w14:paraId="7575A4E3" w14:textId="77777777" w:rsidR="00FC097F" w:rsidRDefault="00FC097F" w:rsidP="000951C1">
            <w:pPr>
              <w:jc w:val="center"/>
            </w:pPr>
            <w:r>
              <w:rPr>
                <w:sz w:val="18"/>
              </w:rPr>
              <w:t>0,9058</w:t>
            </w:r>
          </w:p>
        </w:tc>
        <w:tc>
          <w:tcPr>
            <w:tcW w:w="1140" w:type="dxa"/>
            <w:shd w:val="clear" w:color="auto" w:fill="F7F7F7"/>
            <w:vAlign w:val="center"/>
          </w:tcPr>
          <w:p w14:paraId="3D439AFE" w14:textId="77777777" w:rsidR="00FC097F" w:rsidRDefault="00FC097F" w:rsidP="000951C1">
            <w:pPr>
              <w:jc w:val="center"/>
            </w:pPr>
            <w:proofErr w:type="spellStart"/>
            <w:r>
              <w:rPr>
                <w:sz w:val="18"/>
              </w:rPr>
              <w:t>Μη</w:t>
            </w:r>
            <w:proofErr w:type="spellEnd"/>
            <w:r>
              <w:rPr>
                <w:sz w:val="18"/>
              </w:rPr>
              <w:t xml:space="preserve"> απ</w:t>
            </w:r>
            <w:proofErr w:type="spellStart"/>
            <w:r>
              <w:rPr>
                <w:sz w:val="18"/>
              </w:rPr>
              <w:t>όρριψη</w:t>
            </w:r>
            <w:proofErr w:type="spellEnd"/>
          </w:p>
        </w:tc>
      </w:tr>
    </w:tbl>
    <w:p w14:paraId="2F9ECF9B" w14:textId="77777777" w:rsidR="00AF3BEE" w:rsidRDefault="00AF3BEE" w:rsidP="00FC097F">
      <w:pPr>
        <w:pStyle w:val="af3"/>
        <w:keepNext/>
        <w:spacing w:after="60"/>
        <w:jc w:val="center"/>
        <w:rPr>
          <w:sz w:val="20"/>
          <w:lang w:val="el-GR"/>
        </w:rPr>
      </w:pPr>
    </w:p>
    <w:p w14:paraId="73805901" w14:textId="77777777" w:rsidR="00FC097F" w:rsidRDefault="00FC097F" w:rsidP="00FC097F">
      <w:pPr>
        <w:jc w:val="center"/>
      </w:pPr>
      <w:r>
        <w:rPr>
          <w:noProof/>
        </w:rPr>
        <w:drawing>
          <wp:inline distT="0" distB="0" distL="0" distR="0" wp14:anchorId="5A51FC94" wp14:editId="1653B134">
            <wp:extent cx="5212080" cy="2993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4_3_exceptions.png"/>
                    <pic:cNvPicPr/>
                  </pic:nvPicPr>
                  <pic:blipFill>
                    <a:blip r:embed="rId13"/>
                    <a:stretch>
                      <a:fillRect/>
                    </a:stretch>
                  </pic:blipFill>
                  <pic:spPr>
                    <a:xfrm>
                      <a:off x="0" y="0"/>
                      <a:ext cx="5212080" cy="2993984"/>
                    </a:xfrm>
                    <a:prstGeom prst="rect">
                      <a:avLst/>
                    </a:prstGeom>
                  </pic:spPr>
                </pic:pic>
              </a:graphicData>
            </a:graphic>
          </wp:inline>
        </w:drawing>
      </w:r>
    </w:p>
    <w:p w14:paraId="4D15F31C" w14:textId="77777777" w:rsidR="00D32B37" w:rsidRPr="00FC097F" w:rsidRDefault="00D32B37" w:rsidP="00D32B37">
      <w:pPr>
        <w:pStyle w:val="af3"/>
        <w:keepNext/>
        <w:spacing w:after="60"/>
        <w:jc w:val="center"/>
        <w:rPr>
          <w:lang w:val="el-GR"/>
        </w:rPr>
      </w:pPr>
      <w:r w:rsidRPr="00FC097F">
        <w:rPr>
          <w:sz w:val="20"/>
          <w:lang w:val="el-GR"/>
        </w:rPr>
        <w:t xml:space="preserve">Διάγραμμα 4.3: Πραγματικές εξαιρέσεις </w:t>
      </w:r>
      <w:proofErr w:type="spellStart"/>
      <w:r>
        <w:rPr>
          <w:sz w:val="20"/>
        </w:rPr>
        <w:t>backtesting</w:t>
      </w:r>
      <w:proofErr w:type="spellEnd"/>
      <w:r w:rsidRPr="00FC097F">
        <w:rPr>
          <w:sz w:val="20"/>
          <w:lang w:val="el-GR"/>
        </w:rPr>
        <w:t xml:space="preserve"> πριν και μετά την αντιστάθμιση</w:t>
      </w:r>
    </w:p>
    <w:p w14:paraId="31B6CE52" w14:textId="77777777" w:rsidR="00D32B37" w:rsidRDefault="00D32B37" w:rsidP="00FC097F">
      <w:pPr>
        <w:pStyle w:val="af"/>
        <w:rPr>
          <w:lang w:val="el-GR"/>
        </w:rPr>
      </w:pPr>
    </w:p>
    <w:p w14:paraId="1DE3743A" w14:textId="2F6ADD41" w:rsidR="00FC097F" w:rsidRPr="005B30C1" w:rsidRDefault="00FC097F" w:rsidP="00FC097F">
      <w:pPr>
        <w:pStyle w:val="af"/>
        <w:rPr>
          <w:lang w:val="el-GR"/>
        </w:rPr>
      </w:pPr>
      <w:r w:rsidRPr="005B30C1">
        <w:rPr>
          <w:lang w:val="el-GR"/>
        </w:rPr>
        <w:t xml:space="preserve">Τα αποτελέσματα δείχνουν διαφοροποιημένη εικόνα ανά μέθοδο. Η </w:t>
      </w:r>
      <w:r>
        <w:t>EWMA</w:t>
      </w:r>
      <w:r w:rsidRPr="005B30C1">
        <w:rPr>
          <w:lang w:val="el-GR"/>
        </w:rPr>
        <w:t xml:space="preserve"> </w:t>
      </w:r>
      <w:proofErr w:type="spellStart"/>
      <w:r>
        <w:t>VaR</w:t>
      </w:r>
      <w:proofErr w:type="spellEnd"/>
      <w:r w:rsidRPr="005B30C1">
        <w:rPr>
          <w:lang w:val="el-GR"/>
        </w:rPr>
        <w:t xml:space="preserve"> εμφανίζει 29 εξαιρέσεις, δηλαδή ποσοστό 2,31%, υπερδιπλάσιο από το θεωρητικά αναμενόμενο 1%. Το </w:t>
      </w:r>
      <w:r>
        <w:t>p</w:t>
      </w:r>
      <w:r w:rsidRPr="005B30C1">
        <w:rPr>
          <w:lang w:val="el-GR"/>
        </w:rPr>
        <w:t>-</w:t>
      </w:r>
      <w:r>
        <w:t>value</w:t>
      </w:r>
      <w:r w:rsidRPr="005B30C1">
        <w:rPr>
          <w:lang w:val="el-GR"/>
        </w:rPr>
        <w:t xml:space="preserve"> του </w:t>
      </w:r>
      <w:r>
        <w:t>Kupiec</w:t>
      </w:r>
      <w:r w:rsidRPr="005B30C1">
        <w:rPr>
          <w:lang w:val="el-GR"/>
        </w:rPr>
        <w:t xml:space="preserve"> </w:t>
      </w:r>
      <w:r>
        <w:t>test</w:t>
      </w:r>
      <w:r w:rsidRPr="005B30C1">
        <w:rPr>
          <w:lang w:val="el-GR"/>
        </w:rPr>
        <w:t xml:space="preserve"> είναι 6,97</w:t>
      </w:r>
      <w:r>
        <w:t>E</w:t>
      </w:r>
      <w:r w:rsidRPr="005B30C1">
        <w:rPr>
          <w:lang w:val="el-GR"/>
        </w:rPr>
        <w:t xml:space="preserve">-05, συνεπώς η υπόθεση σωστής κάλυψης απορρίπτεται. Αντίθετα, η </w:t>
      </w:r>
      <w:r>
        <w:t>Historical</w:t>
      </w:r>
      <w:r w:rsidRPr="005B30C1">
        <w:rPr>
          <w:lang w:val="el-GR"/>
        </w:rPr>
        <w:t xml:space="preserve"> </w:t>
      </w:r>
      <w:proofErr w:type="spellStart"/>
      <w:r>
        <w:t>VaR</w:t>
      </w:r>
      <w:proofErr w:type="spellEnd"/>
      <w:r w:rsidRPr="005B30C1">
        <w:rPr>
          <w:lang w:val="el-GR"/>
        </w:rPr>
        <w:t xml:space="preserve"> εμφανίζει 13 εξαιρέσεις, δηλαδή ποσοστό 1,03%, με </w:t>
      </w:r>
      <w:r>
        <w:t>p</w:t>
      </w:r>
      <w:r w:rsidRPr="005B30C1">
        <w:rPr>
          <w:lang w:val="el-GR"/>
        </w:rPr>
        <w:t>-</w:t>
      </w:r>
      <w:r>
        <w:t>value</w:t>
      </w:r>
      <w:r w:rsidRPr="005B30C1">
        <w:rPr>
          <w:lang w:val="el-GR"/>
        </w:rPr>
        <w:t xml:space="preserve"> 0,9058. Επομένως, για τη </w:t>
      </w:r>
      <w:r>
        <w:t>Historical</w:t>
      </w:r>
      <w:r w:rsidRPr="005B30C1">
        <w:rPr>
          <w:lang w:val="el-GR"/>
        </w:rPr>
        <w:t xml:space="preserve"> </w:t>
      </w:r>
      <w:proofErr w:type="spellStart"/>
      <w:r>
        <w:t>VaR</w:t>
      </w:r>
      <w:proofErr w:type="spellEnd"/>
      <w:r w:rsidRPr="005B30C1">
        <w:rPr>
          <w:lang w:val="el-GR"/>
        </w:rPr>
        <w:t xml:space="preserve"> δεν απορρίπτεται η υπόθεση ανεπιφύλακτης κάλυψης.</w:t>
      </w:r>
    </w:p>
    <w:p w14:paraId="39EE8819" w14:textId="77777777" w:rsidR="00FC097F" w:rsidRPr="005B30C1" w:rsidRDefault="00FC097F" w:rsidP="00FC097F">
      <w:pPr>
        <w:pStyle w:val="af"/>
        <w:rPr>
          <w:lang w:val="el-GR"/>
        </w:rPr>
      </w:pPr>
      <w:r w:rsidRPr="005B30C1">
        <w:rPr>
          <w:lang w:val="el-GR"/>
        </w:rPr>
        <w:t xml:space="preserve">Η απόρριψη της </w:t>
      </w:r>
      <w:r>
        <w:t>EWMA</w:t>
      </w:r>
      <w:r w:rsidRPr="005B30C1">
        <w:rPr>
          <w:lang w:val="el-GR"/>
        </w:rPr>
        <w:t xml:space="preserve"> </w:t>
      </w:r>
      <w:proofErr w:type="spellStart"/>
      <w:r>
        <w:t>VaR</w:t>
      </w:r>
      <w:proofErr w:type="spellEnd"/>
      <w:r w:rsidRPr="005B30C1">
        <w:rPr>
          <w:lang w:val="el-GR"/>
        </w:rPr>
        <w:t xml:space="preserve"> δεν σημαίνει ότι η </w:t>
      </w:r>
      <w:proofErr w:type="spellStart"/>
      <w:r>
        <w:t>VaR</w:t>
      </w:r>
      <w:proofErr w:type="spellEnd"/>
      <w:r w:rsidRPr="005B30C1">
        <w:rPr>
          <w:lang w:val="el-GR"/>
        </w:rPr>
        <w:t xml:space="preserve"> δεν έχει αξία ως εργαλείο. Σημαίνει όμως ότι, για το συγκεκριμένο χαρτοφυλάκιο και το συγκεκριμένο δείγμα, η απλή </w:t>
      </w:r>
      <w:r>
        <w:t>EWMA</w:t>
      </w:r>
      <w:r w:rsidRPr="005B30C1">
        <w:rPr>
          <w:lang w:val="el-GR"/>
        </w:rPr>
        <w:t xml:space="preserve"> παραμετροποίηση δεν κάλυψε επαρκώς τις πραγματικές ζημίες. Το αποτέλεσμα αυτό είναι συνεπές με τη βιβλιογραφική κριτική ότι τα υποδείγματα που βασίζονται σε </w:t>
      </w:r>
      <w:proofErr w:type="spellStart"/>
      <w:r w:rsidRPr="005B30C1">
        <w:rPr>
          <w:lang w:val="el-GR"/>
        </w:rPr>
        <w:t>κανονικοποιημένη</w:t>
      </w:r>
      <w:proofErr w:type="spellEnd"/>
      <w:r w:rsidRPr="005B30C1">
        <w:rPr>
          <w:lang w:val="el-GR"/>
        </w:rPr>
        <w:t xml:space="preserve"> μεταβλητότητα μπορούν να υποεκτιμήσουν τον κίνδυνο όταν οι ακραίες ζημίες εμφανίζονται συχνότερα από το αναμενόμενο ή όταν το καθεστώς της αγοράς αλλάζει γρήγορα.</w:t>
      </w:r>
    </w:p>
    <w:p w14:paraId="0EE7F54F" w14:textId="77777777" w:rsidR="00FC097F" w:rsidRPr="005B30C1" w:rsidRDefault="00FC097F" w:rsidP="00FC097F">
      <w:pPr>
        <w:pStyle w:val="af"/>
        <w:rPr>
          <w:lang w:val="el-GR"/>
        </w:rPr>
      </w:pPr>
      <w:r w:rsidRPr="005B30C1">
        <w:rPr>
          <w:lang w:val="el-GR"/>
        </w:rPr>
        <w:lastRenderedPageBreak/>
        <w:t xml:space="preserve">Ιδιαίτερο ενδιαφέρον έχει ότι η </w:t>
      </w:r>
      <w:r>
        <w:t>Historical</w:t>
      </w:r>
      <w:r w:rsidRPr="005B30C1">
        <w:rPr>
          <w:lang w:val="el-GR"/>
        </w:rPr>
        <w:t xml:space="preserve"> </w:t>
      </w:r>
      <w:proofErr w:type="spellStart"/>
      <w:r>
        <w:t>VaR</w:t>
      </w:r>
      <w:proofErr w:type="spellEnd"/>
      <w:r w:rsidRPr="005B30C1">
        <w:rPr>
          <w:lang w:val="el-GR"/>
        </w:rPr>
        <w:t xml:space="preserve">, παρά την απλότητά της, εμφανίζει αποδεκτή συμπεριφορά στο συγκεκριμένο δείγμα. Αυτό οφείλεται κυρίως στο ότι το κυλιόμενο παράθυρο των 250 ημερών ενσωματώνει απευθείας τις πραγματικές ακραίες παρατηρήσεις. Όταν στο παράθυρο υπολογισμού υπάρχουν σημαντικές ζημίες, το ιστορικό </w:t>
      </w:r>
      <w:proofErr w:type="spellStart"/>
      <w:r w:rsidRPr="005B30C1">
        <w:rPr>
          <w:lang w:val="el-GR"/>
        </w:rPr>
        <w:t>ποσοστημόριο</w:t>
      </w:r>
      <w:proofErr w:type="spellEnd"/>
      <w:r w:rsidRPr="005B30C1">
        <w:rPr>
          <w:lang w:val="el-GR"/>
        </w:rPr>
        <w:t xml:space="preserve"> μεταφέρεται σε υψηλότερη </w:t>
      </w:r>
      <w:proofErr w:type="spellStart"/>
      <w:r>
        <w:t>VaR</w:t>
      </w:r>
      <w:proofErr w:type="spellEnd"/>
      <w:r w:rsidRPr="005B30C1">
        <w:rPr>
          <w:lang w:val="el-GR"/>
        </w:rPr>
        <w:t>. Το πλεονέκτημα αυτό, βέβαια, συνοδεύεται από υστέρηση προσαρμογής όταν οι συνθήκες αλλάζουν απότομα.</w:t>
      </w:r>
    </w:p>
    <w:p w14:paraId="73BAA373" w14:textId="77777777" w:rsidR="00FC097F" w:rsidRPr="005B30C1" w:rsidRDefault="00FC097F" w:rsidP="00FC097F">
      <w:pPr>
        <w:pStyle w:val="af"/>
        <w:rPr>
          <w:lang w:val="el-GR"/>
        </w:rPr>
      </w:pPr>
      <w:r w:rsidRPr="005B30C1">
        <w:rPr>
          <w:lang w:val="el-GR"/>
        </w:rPr>
        <w:t xml:space="preserve">Τα αποτελέσματα του </w:t>
      </w:r>
      <w:proofErr w:type="spellStart"/>
      <w:r>
        <w:t>backtesting</w:t>
      </w:r>
      <w:proofErr w:type="spellEnd"/>
      <w:r w:rsidRPr="005B30C1">
        <w:rPr>
          <w:lang w:val="el-GR"/>
        </w:rPr>
        <w:t xml:space="preserve"> για το αρχικό χαρτοφυλάκιο είναι ιδιαίτερα σημαντικά. Σε 1.258 ημερήσιες παρατηρήσεις και επίπεδο εμπιστοσύνης 99%, ο αναμενόμενος αριθμός εξαιρέσεων είναι περίπου 12,58. Στην πράξη, η </w:t>
      </w:r>
      <w:r>
        <w:t>EWMA</w:t>
      </w:r>
      <w:r w:rsidRPr="005B30C1">
        <w:rPr>
          <w:lang w:val="el-GR"/>
        </w:rPr>
        <w:t xml:space="preserve"> </w:t>
      </w:r>
      <w:proofErr w:type="spellStart"/>
      <w:r>
        <w:t>VaR</w:t>
      </w:r>
      <w:proofErr w:type="spellEnd"/>
      <w:r w:rsidRPr="005B30C1">
        <w:rPr>
          <w:lang w:val="el-GR"/>
        </w:rPr>
        <w:t xml:space="preserve"> εμφανίζει 29 εξαιρέσεις, δηλαδή ποσοστό 2,31%, ενώ η </w:t>
      </w:r>
      <w:r>
        <w:t>Historical</w:t>
      </w:r>
      <w:r w:rsidRPr="005B30C1">
        <w:rPr>
          <w:lang w:val="el-GR"/>
        </w:rPr>
        <w:t xml:space="preserve"> </w:t>
      </w:r>
      <w:proofErr w:type="spellStart"/>
      <w:r>
        <w:t>VaR</w:t>
      </w:r>
      <w:proofErr w:type="spellEnd"/>
      <w:r w:rsidRPr="005B30C1">
        <w:rPr>
          <w:lang w:val="el-GR"/>
        </w:rPr>
        <w:t xml:space="preserve"> εμφανίζει 13 εξαιρέσεις, δηλαδή ποσοστό 1,03%. Η πρώτη μέθοδος υποεκτιμά τον κίνδυνο στο συγκεκριμένο δείγμα, ενώ η δεύτερη βρίσκεται αρκετά κοντά στη θεωρητικά αναμενόμενη συχνότητα.</w:t>
      </w:r>
    </w:p>
    <w:p w14:paraId="5A1D651E" w14:textId="77777777" w:rsidR="00FC097F" w:rsidRPr="005B30C1" w:rsidRDefault="00FC097F" w:rsidP="00FC097F">
      <w:pPr>
        <w:pStyle w:val="af"/>
        <w:rPr>
          <w:lang w:val="el-GR"/>
        </w:rPr>
      </w:pPr>
      <w:r w:rsidRPr="005B30C1">
        <w:rPr>
          <w:lang w:val="el-GR"/>
        </w:rPr>
        <w:t xml:space="preserve">Η στατιστική εικόνα επιβεβαιώνεται από τον έλεγχο </w:t>
      </w:r>
      <w:r>
        <w:t>Kupiec</w:t>
      </w:r>
      <w:r w:rsidRPr="005B30C1">
        <w:rPr>
          <w:lang w:val="el-GR"/>
        </w:rPr>
        <w:t xml:space="preserve">. Για την </w:t>
      </w:r>
      <w:r>
        <w:t>EWMA</w:t>
      </w:r>
      <w:r w:rsidRPr="005B30C1">
        <w:rPr>
          <w:lang w:val="el-GR"/>
        </w:rPr>
        <w:t xml:space="preserve"> </w:t>
      </w:r>
      <w:proofErr w:type="spellStart"/>
      <w:r>
        <w:t>VaR</w:t>
      </w:r>
      <w:proofErr w:type="spellEnd"/>
      <w:r w:rsidRPr="005B30C1">
        <w:rPr>
          <w:lang w:val="el-GR"/>
        </w:rPr>
        <w:t xml:space="preserve">, το </w:t>
      </w:r>
      <w:r>
        <w:t>p</w:t>
      </w:r>
      <w:r w:rsidRPr="005B30C1">
        <w:rPr>
          <w:lang w:val="el-GR"/>
        </w:rPr>
        <w:t>-</w:t>
      </w:r>
      <w:r>
        <w:t>value</w:t>
      </w:r>
      <w:r w:rsidRPr="005B30C1">
        <w:rPr>
          <w:lang w:val="el-GR"/>
        </w:rPr>
        <w:t xml:space="preserve"> είναι 6,97</w:t>
      </w:r>
      <w:r>
        <w:t>E</w:t>
      </w:r>
      <w:r w:rsidRPr="005B30C1">
        <w:rPr>
          <w:lang w:val="el-GR"/>
        </w:rPr>
        <w:t xml:space="preserve">-05, πολύ χαμηλότερο από το επίπεδο σημαντικότητας 5%. Επομένως, απορρίπτεται η υπόθεση σωστής ανεπιφύλακτης κάλυψης. Για τη </w:t>
      </w:r>
      <w:r>
        <w:t>Historical</w:t>
      </w:r>
      <w:r w:rsidRPr="005B30C1">
        <w:rPr>
          <w:lang w:val="el-GR"/>
        </w:rPr>
        <w:t xml:space="preserve"> </w:t>
      </w:r>
      <w:proofErr w:type="spellStart"/>
      <w:r>
        <w:t>VaR</w:t>
      </w:r>
      <w:proofErr w:type="spellEnd"/>
      <w:r w:rsidRPr="005B30C1">
        <w:rPr>
          <w:lang w:val="el-GR"/>
        </w:rPr>
        <w:t xml:space="preserve">, το </w:t>
      </w:r>
      <w:r>
        <w:t>p</w:t>
      </w:r>
      <w:r w:rsidRPr="005B30C1">
        <w:rPr>
          <w:lang w:val="el-GR"/>
        </w:rPr>
        <w:t>-</w:t>
      </w:r>
      <w:r>
        <w:t>value</w:t>
      </w:r>
      <w:r w:rsidRPr="005B30C1">
        <w:rPr>
          <w:lang w:val="el-GR"/>
        </w:rPr>
        <w:t xml:space="preserve"> είναι 0,9058, άρα δεν υπάρχει στατιστική ένδειξη ότι η συχνότητα εξαιρέσεων αποκλίνει από το αναμενόμενο 1%. Με απλούστερους όρους, η </w:t>
      </w:r>
      <w:r>
        <w:t>Historical</w:t>
      </w:r>
      <w:r w:rsidRPr="005B30C1">
        <w:rPr>
          <w:lang w:val="el-GR"/>
        </w:rPr>
        <w:t xml:space="preserve"> </w:t>
      </w:r>
      <w:proofErr w:type="spellStart"/>
      <w:r>
        <w:t>VaR</w:t>
      </w:r>
      <w:proofErr w:type="spellEnd"/>
      <w:r w:rsidRPr="005B30C1">
        <w:rPr>
          <w:lang w:val="el-GR"/>
        </w:rPr>
        <w:t xml:space="preserve"> εμφανίζεται πιο αξιόπιστη στο συγκεκριμένο αρχικό χαρτοφυλάκιο.</w:t>
      </w:r>
    </w:p>
    <w:p w14:paraId="34BD10EE" w14:textId="77777777" w:rsidR="00FC097F" w:rsidRPr="005B30C1" w:rsidRDefault="00FC097F" w:rsidP="00FC097F">
      <w:pPr>
        <w:pStyle w:val="af"/>
        <w:rPr>
          <w:lang w:val="el-GR"/>
        </w:rPr>
      </w:pPr>
      <w:r w:rsidRPr="005B30C1">
        <w:rPr>
          <w:lang w:val="el-GR"/>
        </w:rPr>
        <w:t xml:space="preserve">Το αποτέλεσμα αυτό δεν σημαίνει ότι η </w:t>
      </w:r>
      <w:r>
        <w:t>EWMA</w:t>
      </w:r>
      <w:r w:rsidRPr="005B30C1">
        <w:rPr>
          <w:lang w:val="el-GR"/>
        </w:rPr>
        <w:t xml:space="preserve"> είναι γενικά ακατάλληλη ούτε ότι η </w:t>
      </w:r>
      <w:r>
        <w:t>Historical</w:t>
      </w:r>
      <w:r w:rsidRPr="005B30C1">
        <w:rPr>
          <w:lang w:val="el-GR"/>
        </w:rPr>
        <w:t xml:space="preserve"> </w:t>
      </w:r>
      <w:proofErr w:type="spellStart"/>
      <w:r>
        <w:t>VaR</w:t>
      </w:r>
      <w:proofErr w:type="spellEnd"/>
      <w:r w:rsidRPr="005B30C1">
        <w:rPr>
          <w:lang w:val="el-GR"/>
        </w:rPr>
        <w:t xml:space="preserve"> είναι πάντα ανώτερη. Σημαίνει ότι, για το συγκεκριμένο χαρτοφυλάκιο, την εξεταζόμενη περίοδο και τη συγκεκριμένη παραμετροποίηση, η εμπειρική συμπεριφορά της </w:t>
      </w:r>
      <w:r>
        <w:t>Historical</w:t>
      </w:r>
      <w:r w:rsidRPr="005B30C1">
        <w:rPr>
          <w:lang w:val="el-GR"/>
        </w:rPr>
        <w:t xml:space="preserve"> </w:t>
      </w:r>
      <w:proofErr w:type="spellStart"/>
      <w:r>
        <w:t>VaR</w:t>
      </w:r>
      <w:proofErr w:type="spellEnd"/>
      <w:r w:rsidRPr="005B30C1">
        <w:rPr>
          <w:lang w:val="el-GR"/>
        </w:rPr>
        <w:t xml:space="preserve"> είναι καλύτερη ως προς την ανεπιφύλακτη κάλυψη. Η ερμηνεία είναι συμβατή με τη βιβλιογραφία για ακραίες παρατηρήσεις, συγκέντρωση μεταβλητότητας και εξάρτηση των αποτελεσμάτων </w:t>
      </w:r>
      <w:proofErr w:type="spellStart"/>
      <w:r>
        <w:t>VaR</w:t>
      </w:r>
      <w:proofErr w:type="spellEnd"/>
      <w:r w:rsidRPr="005B30C1">
        <w:rPr>
          <w:lang w:val="el-GR"/>
        </w:rPr>
        <w:t xml:space="preserve"> από το δείγμα υπολογισμού.</w:t>
      </w:r>
    </w:p>
    <w:p w14:paraId="543F5CEA" w14:textId="77777777" w:rsidR="00FC097F" w:rsidRPr="005B30C1" w:rsidRDefault="00FC097F" w:rsidP="00321E2E">
      <w:pPr>
        <w:pStyle w:val="21"/>
        <w:rPr>
          <w:lang w:val="el-GR"/>
        </w:rPr>
      </w:pPr>
      <w:bookmarkStart w:id="63" w:name="_Toc232171092"/>
      <w:bookmarkStart w:id="64" w:name="αποτελέσματα-αντιστάθμισης"/>
      <w:bookmarkEnd w:id="62"/>
      <w:r w:rsidRPr="005B30C1">
        <w:rPr>
          <w:rFonts w:eastAsia="Times New Roman"/>
          <w:lang w:val="el-GR"/>
        </w:rPr>
        <w:t>4.4 Αποτελέσματα αντιστάθμισης</w:t>
      </w:r>
      <w:bookmarkEnd w:id="63"/>
    </w:p>
    <w:p w14:paraId="1DDC70C6" w14:textId="77777777" w:rsidR="00FC097F" w:rsidRPr="005B30C1" w:rsidRDefault="00FC097F" w:rsidP="00FC097F">
      <w:pPr>
        <w:ind w:firstLine="357"/>
        <w:rPr>
          <w:lang w:val="el-GR"/>
        </w:rPr>
      </w:pPr>
      <w:r w:rsidRPr="005B30C1">
        <w:rPr>
          <w:lang w:val="el-GR"/>
        </w:rPr>
        <w:t xml:space="preserve">Μετά την αξιολόγηση του αρχικού χαρτοφυλακίου, εφαρμόζεται αντιστάθμιση μέσω του </w:t>
      </w:r>
      <w:r>
        <w:t>E</w:t>
      </w:r>
      <w:r w:rsidRPr="005B30C1">
        <w:rPr>
          <w:lang w:val="el-GR"/>
        </w:rPr>
        <w:t>-</w:t>
      </w:r>
      <w:r>
        <w:t>mini</w:t>
      </w:r>
      <w:r w:rsidRPr="005B30C1">
        <w:rPr>
          <w:lang w:val="el-GR"/>
        </w:rPr>
        <w:t xml:space="preserve"> </w:t>
      </w:r>
      <w:r>
        <w:t>S</w:t>
      </w:r>
      <w:r w:rsidRPr="005B30C1">
        <w:rPr>
          <w:lang w:val="el-GR"/>
        </w:rPr>
        <w:t>&amp;</w:t>
      </w:r>
      <w:r>
        <w:t>P</w:t>
      </w:r>
      <w:r w:rsidRPr="005B30C1">
        <w:rPr>
          <w:lang w:val="el-GR"/>
        </w:rPr>
        <w:t xml:space="preserve"> 500 </w:t>
      </w:r>
      <w:r>
        <w:t>futures</w:t>
      </w:r>
      <w:r w:rsidRPr="005B30C1">
        <w:rPr>
          <w:lang w:val="el-GR"/>
        </w:rPr>
        <w:t xml:space="preserve">. Ο εκτιμώμενος λόγος αντιστάθμισης στο δείγμα </w:t>
      </w:r>
      <w:proofErr w:type="spellStart"/>
      <w:r>
        <w:t>backtesting</w:t>
      </w:r>
      <w:proofErr w:type="spellEnd"/>
      <w:r w:rsidRPr="005B30C1">
        <w:rPr>
          <w:lang w:val="el-GR"/>
        </w:rPr>
        <w:t xml:space="preserve"> έχει μέση τιμή 0,759, διάμεσο 0,786, ελάχιστη τιμή 0,179 και μέγιστη τιμή 1,120. Οι τιμές αυτές δείχνουν ότι το χαρτοφυλάκιο έχει ουσιαστική, αλλά όχι απόλυτη, σχέση με τη συνολική αγορά. Επομένως, το </w:t>
      </w:r>
      <w:r>
        <w:t>futures</w:t>
      </w:r>
      <w:r w:rsidRPr="005B30C1">
        <w:rPr>
          <w:lang w:val="el-GR"/>
        </w:rPr>
        <w:t xml:space="preserve"> μπορεί να μειώσει τον συστηματικό κίνδυνο, αλλά δεν μπορεί να εξαλείψει πλήρως τον ειδικό κίνδυνο των επιμέρους μετοχών.</w:t>
      </w:r>
    </w:p>
    <w:p w14:paraId="09C4C069" w14:textId="0D9140C0" w:rsidR="00070F75" w:rsidRPr="00D6683B" w:rsidRDefault="00D6683B" w:rsidP="00FC097F">
      <w:pPr>
        <w:pStyle w:val="af"/>
        <w:rPr>
          <w:lang w:val="el-GR"/>
        </w:rPr>
      </w:pPr>
      <w:r w:rsidRPr="00D6683B">
        <w:rPr>
          <w:lang w:val="el-GR"/>
        </w:rPr>
        <w:lastRenderedPageBreak/>
        <w:t xml:space="preserve">Η επίδραση της αντιστάθμισης φαίνεται καθαρά στη μεταβλητότητα των αποδόσεων. Στο δείγμα </w:t>
      </w:r>
      <w:proofErr w:type="spellStart"/>
      <w:r>
        <w:t>backtesting</w:t>
      </w:r>
      <w:proofErr w:type="spellEnd"/>
      <w:r w:rsidRPr="00D6683B">
        <w:rPr>
          <w:lang w:val="el-GR"/>
        </w:rPr>
        <w:t>, η ημερήσια τυπική απόκλιση μειώθηκε από 0,995% σε 0,539%, δηλαδή κατά περίπου 45,84%. Για τη συνολική εικόνα της περιόδου ανάλυσης, ο Πίνακας 4.5 παρουσιάζει τα αντίστοιχα περιγραφικά μεγέθη στο πλήρες δείγμα, όπου η τυπική απόκλιση του αρχικού χαρτοφυλακίου ανέρχεται σε 1,348% και του αντισταθμισμένου σε 0,659%, δηλαδή μείωση 51,11%.</w:t>
      </w:r>
    </w:p>
    <w:p w14:paraId="0805106D" w14:textId="77777777" w:rsidR="00FC097F" w:rsidRPr="005B30C1" w:rsidRDefault="00FC097F" w:rsidP="00FC097F">
      <w:pPr>
        <w:pStyle w:val="af3"/>
        <w:keepNext/>
        <w:pageBreakBefore/>
        <w:spacing w:after="60"/>
        <w:jc w:val="center"/>
        <w:rPr>
          <w:lang w:val="el-GR"/>
        </w:rPr>
      </w:pPr>
      <w:r w:rsidRPr="005B30C1">
        <w:rPr>
          <w:lang w:val="el-GR"/>
        </w:rPr>
        <w:lastRenderedPageBreak/>
        <w:t>Πίνακας 4.5: Σύγκριση αρχικού και αντισταθμισμένου χαρτοφυλακίου</w:t>
      </w:r>
    </w:p>
    <w:tbl>
      <w:tblPr>
        <w:tblStyle w:val="afa"/>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78"/>
        <w:gridCol w:w="2278"/>
        <w:gridCol w:w="2278"/>
        <w:gridCol w:w="2278"/>
      </w:tblGrid>
      <w:tr w:rsidR="00FC097F" w14:paraId="6C7FFB99" w14:textId="77777777" w:rsidTr="000951C1">
        <w:trPr>
          <w:cantSplit/>
          <w:tblHeader/>
          <w:jc w:val="center"/>
        </w:trPr>
        <w:tc>
          <w:tcPr>
            <w:tcW w:w="2280" w:type="dxa"/>
            <w:shd w:val="clear" w:color="auto" w:fill="D9EAF7"/>
            <w:vAlign w:val="center"/>
          </w:tcPr>
          <w:p w14:paraId="4553DBFF" w14:textId="77777777" w:rsidR="00FC097F" w:rsidRDefault="00FC097F" w:rsidP="000951C1">
            <w:pPr>
              <w:jc w:val="center"/>
            </w:pPr>
            <w:proofErr w:type="spellStart"/>
            <w:r>
              <w:rPr>
                <w:b/>
                <w:sz w:val="18"/>
              </w:rPr>
              <w:t>Μέτρο</w:t>
            </w:r>
            <w:proofErr w:type="spellEnd"/>
          </w:p>
        </w:tc>
        <w:tc>
          <w:tcPr>
            <w:tcW w:w="2280" w:type="dxa"/>
            <w:shd w:val="clear" w:color="auto" w:fill="D9EAF7"/>
            <w:vAlign w:val="center"/>
          </w:tcPr>
          <w:p w14:paraId="3D2B9A88" w14:textId="77777777" w:rsidR="00FC097F" w:rsidRDefault="00FC097F" w:rsidP="000951C1">
            <w:pPr>
              <w:jc w:val="center"/>
            </w:pPr>
            <w:proofErr w:type="spellStart"/>
            <w:r>
              <w:rPr>
                <w:b/>
                <w:sz w:val="18"/>
              </w:rPr>
              <w:t>Αρχικό</w:t>
            </w:r>
            <w:proofErr w:type="spellEnd"/>
            <w:r>
              <w:rPr>
                <w:b/>
                <w:sz w:val="18"/>
              </w:rPr>
              <w:t xml:space="preserve"> χα</w:t>
            </w:r>
            <w:proofErr w:type="spellStart"/>
            <w:r>
              <w:rPr>
                <w:b/>
                <w:sz w:val="18"/>
              </w:rPr>
              <w:t>ρτοφυλάκιο</w:t>
            </w:r>
            <w:proofErr w:type="spellEnd"/>
          </w:p>
        </w:tc>
        <w:tc>
          <w:tcPr>
            <w:tcW w:w="2280" w:type="dxa"/>
            <w:shd w:val="clear" w:color="auto" w:fill="D9EAF7"/>
            <w:vAlign w:val="center"/>
          </w:tcPr>
          <w:p w14:paraId="4CD42587" w14:textId="77777777" w:rsidR="00FC097F" w:rsidRDefault="00FC097F" w:rsidP="000951C1">
            <w:pPr>
              <w:jc w:val="center"/>
            </w:pPr>
            <w:proofErr w:type="spellStart"/>
            <w:r>
              <w:rPr>
                <w:b/>
                <w:sz w:val="18"/>
              </w:rPr>
              <w:t>Αντιστ</w:t>
            </w:r>
            <w:proofErr w:type="spellEnd"/>
            <w:r>
              <w:rPr>
                <w:b/>
                <w:sz w:val="18"/>
              </w:rPr>
              <w:t>αθμισμένο χα</w:t>
            </w:r>
            <w:proofErr w:type="spellStart"/>
            <w:r>
              <w:rPr>
                <w:b/>
                <w:sz w:val="18"/>
              </w:rPr>
              <w:t>ρτοφυλάκιο</w:t>
            </w:r>
            <w:proofErr w:type="spellEnd"/>
          </w:p>
        </w:tc>
        <w:tc>
          <w:tcPr>
            <w:tcW w:w="2280" w:type="dxa"/>
            <w:shd w:val="clear" w:color="auto" w:fill="D9EAF7"/>
            <w:vAlign w:val="center"/>
          </w:tcPr>
          <w:p w14:paraId="01B088E2" w14:textId="77777777" w:rsidR="00FC097F" w:rsidRDefault="00FC097F" w:rsidP="000951C1">
            <w:pPr>
              <w:jc w:val="center"/>
            </w:pPr>
            <w:proofErr w:type="spellStart"/>
            <w:r>
              <w:rPr>
                <w:b/>
                <w:sz w:val="18"/>
              </w:rPr>
              <w:t>Μετ</w:t>
            </w:r>
            <w:proofErr w:type="spellEnd"/>
            <w:r>
              <w:rPr>
                <w:b/>
                <w:sz w:val="18"/>
              </w:rPr>
              <w:t>αβολή / παρα</w:t>
            </w:r>
            <w:proofErr w:type="spellStart"/>
            <w:r>
              <w:rPr>
                <w:b/>
                <w:sz w:val="18"/>
              </w:rPr>
              <w:t>τήρηση</w:t>
            </w:r>
            <w:proofErr w:type="spellEnd"/>
          </w:p>
        </w:tc>
      </w:tr>
      <w:tr w:rsidR="00FC097F" w14:paraId="1903EFD2" w14:textId="77777777" w:rsidTr="000951C1">
        <w:trPr>
          <w:cantSplit/>
          <w:jc w:val="center"/>
        </w:trPr>
        <w:tc>
          <w:tcPr>
            <w:tcW w:w="2280" w:type="dxa"/>
            <w:vAlign w:val="center"/>
          </w:tcPr>
          <w:p w14:paraId="04E410F4" w14:textId="77777777" w:rsidR="00FC097F" w:rsidRDefault="00FC097F" w:rsidP="000951C1">
            <w:pPr>
              <w:jc w:val="center"/>
            </w:pPr>
            <w:proofErr w:type="spellStart"/>
            <w:r>
              <w:rPr>
                <w:sz w:val="18"/>
              </w:rPr>
              <w:t>Μέση</w:t>
            </w:r>
            <w:proofErr w:type="spellEnd"/>
            <w:r>
              <w:rPr>
                <w:sz w:val="18"/>
              </w:rPr>
              <w:t xml:space="preserve"> </w:t>
            </w:r>
            <w:proofErr w:type="spellStart"/>
            <w:r>
              <w:rPr>
                <w:sz w:val="18"/>
              </w:rPr>
              <w:t>ημερήσι</w:t>
            </w:r>
            <w:proofErr w:type="spellEnd"/>
            <w:r>
              <w:rPr>
                <w:sz w:val="18"/>
              </w:rPr>
              <w:t>α απ</w:t>
            </w:r>
            <w:proofErr w:type="spellStart"/>
            <w:r>
              <w:rPr>
                <w:sz w:val="18"/>
              </w:rPr>
              <w:t>όδοση</w:t>
            </w:r>
            <w:proofErr w:type="spellEnd"/>
          </w:p>
        </w:tc>
        <w:tc>
          <w:tcPr>
            <w:tcW w:w="2280" w:type="dxa"/>
            <w:vAlign w:val="center"/>
          </w:tcPr>
          <w:p w14:paraId="3C6B0821" w14:textId="77777777" w:rsidR="00FC097F" w:rsidRDefault="00FC097F" w:rsidP="000951C1">
            <w:pPr>
              <w:jc w:val="center"/>
            </w:pPr>
            <w:r>
              <w:rPr>
                <w:sz w:val="18"/>
              </w:rPr>
              <w:t>0,048%</w:t>
            </w:r>
          </w:p>
        </w:tc>
        <w:tc>
          <w:tcPr>
            <w:tcW w:w="2280" w:type="dxa"/>
            <w:vAlign w:val="center"/>
          </w:tcPr>
          <w:p w14:paraId="7123A942" w14:textId="77777777" w:rsidR="00FC097F" w:rsidRDefault="00FC097F" w:rsidP="000951C1">
            <w:pPr>
              <w:jc w:val="center"/>
            </w:pPr>
            <w:r>
              <w:rPr>
                <w:sz w:val="18"/>
              </w:rPr>
              <w:t>0,008%</w:t>
            </w:r>
          </w:p>
        </w:tc>
        <w:tc>
          <w:tcPr>
            <w:tcW w:w="2280" w:type="dxa"/>
            <w:vAlign w:val="center"/>
          </w:tcPr>
          <w:p w14:paraId="00214FED" w14:textId="77777777" w:rsidR="00FC097F" w:rsidRDefault="00FC097F" w:rsidP="000951C1">
            <w:pPr>
              <w:jc w:val="center"/>
            </w:pPr>
          </w:p>
        </w:tc>
      </w:tr>
      <w:tr w:rsidR="00FC097F" w14:paraId="691B0BE5" w14:textId="77777777" w:rsidTr="000951C1">
        <w:trPr>
          <w:cantSplit/>
          <w:jc w:val="center"/>
        </w:trPr>
        <w:tc>
          <w:tcPr>
            <w:tcW w:w="2280" w:type="dxa"/>
            <w:shd w:val="clear" w:color="auto" w:fill="F7F7F7"/>
            <w:vAlign w:val="center"/>
          </w:tcPr>
          <w:p w14:paraId="47141206" w14:textId="77777777" w:rsidR="00FC097F" w:rsidRDefault="00FC097F" w:rsidP="000951C1">
            <w:pPr>
              <w:jc w:val="center"/>
            </w:pPr>
            <w:proofErr w:type="spellStart"/>
            <w:r>
              <w:rPr>
                <w:sz w:val="18"/>
              </w:rPr>
              <w:t>Τυ</w:t>
            </w:r>
            <w:proofErr w:type="spellEnd"/>
            <w:r>
              <w:rPr>
                <w:sz w:val="18"/>
              </w:rPr>
              <w:t>πική απ</w:t>
            </w:r>
            <w:proofErr w:type="spellStart"/>
            <w:r>
              <w:rPr>
                <w:sz w:val="18"/>
              </w:rPr>
              <w:t>όκλιση</w:t>
            </w:r>
            <w:proofErr w:type="spellEnd"/>
            <w:r>
              <w:rPr>
                <w:sz w:val="18"/>
              </w:rPr>
              <w:t xml:space="preserve"> </w:t>
            </w:r>
            <w:proofErr w:type="spellStart"/>
            <w:r>
              <w:rPr>
                <w:sz w:val="18"/>
              </w:rPr>
              <w:t>ημερήσιων</w:t>
            </w:r>
            <w:proofErr w:type="spellEnd"/>
            <w:r>
              <w:rPr>
                <w:sz w:val="18"/>
              </w:rPr>
              <w:t xml:space="preserve"> απ</w:t>
            </w:r>
            <w:proofErr w:type="spellStart"/>
            <w:r>
              <w:rPr>
                <w:sz w:val="18"/>
              </w:rPr>
              <w:t>οδόσεων</w:t>
            </w:r>
            <w:proofErr w:type="spellEnd"/>
          </w:p>
        </w:tc>
        <w:tc>
          <w:tcPr>
            <w:tcW w:w="2280" w:type="dxa"/>
            <w:shd w:val="clear" w:color="auto" w:fill="F7F7F7"/>
            <w:vAlign w:val="center"/>
          </w:tcPr>
          <w:p w14:paraId="68044401" w14:textId="77777777" w:rsidR="00FC097F" w:rsidRDefault="00FC097F" w:rsidP="000951C1">
            <w:pPr>
              <w:jc w:val="center"/>
            </w:pPr>
            <w:r>
              <w:rPr>
                <w:sz w:val="18"/>
              </w:rPr>
              <w:t>1,348%</w:t>
            </w:r>
          </w:p>
        </w:tc>
        <w:tc>
          <w:tcPr>
            <w:tcW w:w="2280" w:type="dxa"/>
            <w:shd w:val="clear" w:color="auto" w:fill="F7F7F7"/>
            <w:vAlign w:val="center"/>
          </w:tcPr>
          <w:p w14:paraId="06B1C5E4" w14:textId="77777777" w:rsidR="00FC097F" w:rsidRDefault="00FC097F" w:rsidP="000951C1">
            <w:pPr>
              <w:jc w:val="center"/>
            </w:pPr>
            <w:r>
              <w:rPr>
                <w:sz w:val="18"/>
              </w:rPr>
              <w:t>0,659%</w:t>
            </w:r>
          </w:p>
        </w:tc>
        <w:tc>
          <w:tcPr>
            <w:tcW w:w="2280" w:type="dxa"/>
            <w:shd w:val="clear" w:color="auto" w:fill="F7F7F7"/>
            <w:vAlign w:val="center"/>
          </w:tcPr>
          <w:p w14:paraId="6D01620A" w14:textId="77777777" w:rsidR="00FC097F" w:rsidRDefault="00FC097F" w:rsidP="000951C1">
            <w:pPr>
              <w:jc w:val="center"/>
            </w:pPr>
            <w:proofErr w:type="spellStart"/>
            <w:r>
              <w:rPr>
                <w:sz w:val="18"/>
              </w:rPr>
              <w:t>Μείωση</w:t>
            </w:r>
            <w:proofErr w:type="spellEnd"/>
            <w:r>
              <w:rPr>
                <w:sz w:val="18"/>
              </w:rPr>
              <w:t xml:space="preserve"> 51,11%</w:t>
            </w:r>
          </w:p>
        </w:tc>
      </w:tr>
      <w:tr w:rsidR="00FC097F" w14:paraId="6434430A" w14:textId="77777777" w:rsidTr="000951C1">
        <w:trPr>
          <w:cantSplit/>
          <w:jc w:val="center"/>
        </w:trPr>
        <w:tc>
          <w:tcPr>
            <w:tcW w:w="2280" w:type="dxa"/>
            <w:vAlign w:val="center"/>
          </w:tcPr>
          <w:p w14:paraId="4DA4508B" w14:textId="77777777" w:rsidR="00FC097F" w:rsidRDefault="00FC097F" w:rsidP="000951C1">
            <w:pPr>
              <w:jc w:val="center"/>
            </w:pPr>
            <w:proofErr w:type="spellStart"/>
            <w:r>
              <w:rPr>
                <w:sz w:val="18"/>
              </w:rPr>
              <w:t>Ελάχιστη</w:t>
            </w:r>
            <w:proofErr w:type="spellEnd"/>
            <w:r>
              <w:rPr>
                <w:sz w:val="18"/>
              </w:rPr>
              <w:t xml:space="preserve"> </w:t>
            </w:r>
            <w:proofErr w:type="spellStart"/>
            <w:r>
              <w:rPr>
                <w:sz w:val="18"/>
              </w:rPr>
              <w:t>ημερήσι</w:t>
            </w:r>
            <w:proofErr w:type="spellEnd"/>
            <w:r>
              <w:rPr>
                <w:sz w:val="18"/>
              </w:rPr>
              <w:t>α απ</w:t>
            </w:r>
            <w:proofErr w:type="spellStart"/>
            <w:r>
              <w:rPr>
                <w:sz w:val="18"/>
              </w:rPr>
              <w:t>όδοση</w:t>
            </w:r>
            <w:proofErr w:type="spellEnd"/>
          </w:p>
        </w:tc>
        <w:tc>
          <w:tcPr>
            <w:tcW w:w="2280" w:type="dxa"/>
            <w:vAlign w:val="center"/>
          </w:tcPr>
          <w:p w14:paraId="33B2C41B" w14:textId="77777777" w:rsidR="00FC097F" w:rsidRDefault="00FC097F" w:rsidP="000951C1">
            <w:pPr>
              <w:jc w:val="center"/>
            </w:pPr>
            <w:r>
              <w:rPr>
                <w:sz w:val="18"/>
              </w:rPr>
              <w:t>-13,003%</w:t>
            </w:r>
          </w:p>
        </w:tc>
        <w:tc>
          <w:tcPr>
            <w:tcW w:w="2280" w:type="dxa"/>
            <w:vAlign w:val="center"/>
          </w:tcPr>
          <w:p w14:paraId="6C1A10F4" w14:textId="77777777" w:rsidR="00FC097F" w:rsidRDefault="00FC097F" w:rsidP="000951C1">
            <w:pPr>
              <w:jc w:val="center"/>
            </w:pPr>
            <w:r>
              <w:rPr>
                <w:sz w:val="18"/>
              </w:rPr>
              <w:t>-6,606%</w:t>
            </w:r>
          </w:p>
        </w:tc>
        <w:tc>
          <w:tcPr>
            <w:tcW w:w="2280" w:type="dxa"/>
            <w:vAlign w:val="center"/>
          </w:tcPr>
          <w:p w14:paraId="3F0955FB" w14:textId="77777777" w:rsidR="00FC097F" w:rsidRDefault="00FC097F" w:rsidP="000951C1">
            <w:pPr>
              <w:jc w:val="center"/>
            </w:pPr>
          </w:p>
        </w:tc>
      </w:tr>
      <w:tr w:rsidR="00FC097F" w14:paraId="3CB0ACC2" w14:textId="77777777" w:rsidTr="000951C1">
        <w:trPr>
          <w:cantSplit/>
          <w:jc w:val="center"/>
        </w:trPr>
        <w:tc>
          <w:tcPr>
            <w:tcW w:w="2280" w:type="dxa"/>
            <w:shd w:val="clear" w:color="auto" w:fill="F7F7F7"/>
            <w:vAlign w:val="center"/>
          </w:tcPr>
          <w:p w14:paraId="43FCD410" w14:textId="77777777" w:rsidR="00FC097F" w:rsidRDefault="00FC097F" w:rsidP="000951C1">
            <w:pPr>
              <w:jc w:val="center"/>
            </w:pPr>
            <w:proofErr w:type="spellStart"/>
            <w:r>
              <w:rPr>
                <w:sz w:val="18"/>
              </w:rPr>
              <w:t>Μέγιστη</w:t>
            </w:r>
            <w:proofErr w:type="spellEnd"/>
            <w:r>
              <w:rPr>
                <w:sz w:val="18"/>
              </w:rPr>
              <w:t xml:space="preserve"> </w:t>
            </w:r>
            <w:proofErr w:type="spellStart"/>
            <w:r>
              <w:rPr>
                <w:sz w:val="18"/>
              </w:rPr>
              <w:t>ημερήσι</w:t>
            </w:r>
            <w:proofErr w:type="spellEnd"/>
            <w:r>
              <w:rPr>
                <w:sz w:val="18"/>
              </w:rPr>
              <w:t>α απ</w:t>
            </w:r>
            <w:proofErr w:type="spellStart"/>
            <w:r>
              <w:rPr>
                <w:sz w:val="18"/>
              </w:rPr>
              <w:t>όδοση</w:t>
            </w:r>
            <w:proofErr w:type="spellEnd"/>
          </w:p>
        </w:tc>
        <w:tc>
          <w:tcPr>
            <w:tcW w:w="2280" w:type="dxa"/>
            <w:shd w:val="clear" w:color="auto" w:fill="F7F7F7"/>
            <w:vAlign w:val="center"/>
          </w:tcPr>
          <w:p w14:paraId="55604633" w14:textId="77777777" w:rsidR="00FC097F" w:rsidRDefault="00FC097F" w:rsidP="000951C1">
            <w:pPr>
              <w:jc w:val="center"/>
            </w:pPr>
            <w:r>
              <w:rPr>
                <w:sz w:val="18"/>
              </w:rPr>
              <w:t>10,865%</w:t>
            </w:r>
          </w:p>
        </w:tc>
        <w:tc>
          <w:tcPr>
            <w:tcW w:w="2280" w:type="dxa"/>
            <w:shd w:val="clear" w:color="auto" w:fill="F7F7F7"/>
            <w:vAlign w:val="center"/>
          </w:tcPr>
          <w:p w14:paraId="6971EAF1" w14:textId="77777777" w:rsidR="00FC097F" w:rsidRDefault="00FC097F" w:rsidP="000951C1">
            <w:pPr>
              <w:jc w:val="center"/>
            </w:pPr>
            <w:r>
              <w:rPr>
                <w:sz w:val="18"/>
              </w:rPr>
              <w:t>7,867%</w:t>
            </w:r>
          </w:p>
        </w:tc>
        <w:tc>
          <w:tcPr>
            <w:tcW w:w="2280" w:type="dxa"/>
            <w:shd w:val="clear" w:color="auto" w:fill="F7F7F7"/>
            <w:vAlign w:val="center"/>
          </w:tcPr>
          <w:p w14:paraId="524F0647" w14:textId="77777777" w:rsidR="00FC097F" w:rsidRDefault="00FC097F" w:rsidP="000951C1">
            <w:pPr>
              <w:jc w:val="center"/>
            </w:pPr>
          </w:p>
        </w:tc>
      </w:tr>
      <w:tr w:rsidR="00FC097F" w14:paraId="530FBD94" w14:textId="77777777" w:rsidTr="000951C1">
        <w:trPr>
          <w:cantSplit/>
          <w:jc w:val="center"/>
        </w:trPr>
        <w:tc>
          <w:tcPr>
            <w:tcW w:w="2280" w:type="dxa"/>
            <w:vAlign w:val="center"/>
          </w:tcPr>
          <w:p w14:paraId="60E05595" w14:textId="77777777" w:rsidR="00FC097F" w:rsidRDefault="00FC097F" w:rsidP="000951C1">
            <w:pPr>
              <w:jc w:val="center"/>
            </w:pPr>
            <w:proofErr w:type="spellStart"/>
            <w:r>
              <w:rPr>
                <w:sz w:val="18"/>
              </w:rPr>
              <w:t>Μέσος</w:t>
            </w:r>
            <w:proofErr w:type="spellEnd"/>
            <w:r>
              <w:rPr>
                <w:sz w:val="18"/>
              </w:rPr>
              <w:t xml:space="preserve"> </w:t>
            </w:r>
            <w:proofErr w:type="spellStart"/>
            <w:r>
              <w:rPr>
                <w:sz w:val="18"/>
              </w:rPr>
              <w:t>λόγος</w:t>
            </w:r>
            <w:proofErr w:type="spellEnd"/>
            <w:r>
              <w:rPr>
                <w:sz w:val="18"/>
              </w:rPr>
              <w:t xml:space="preserve"> α</w:t>
            </w:r>
            <w:proofErr w:type="spellStart"/>
            <w:r>
              <w:rPr>
                <w:sz w:val="18"/>
              </w:rPr>
              <w:t>ντιστάθμισης</w:t>
            </w:r>
            <w:proofErr w:type="spellEnd"/>
          </w:p>
        </w:tc>
        <w:tc>
          <w:tcPr>
            <w:tcW w:w="2280" w:type="dxa"/>
            <w:vAlign w:val="center"/>
          </w:tcPr>
          <w:p w14:paraId="19401D6F" w14:textId="77777777" w:rsidR="00FC097F" w:rsidRDefault="00FC097F" w:rsidP="000951C1">
            <w:pPr>
              <w:jc w:val="center"/>
            </w:pPr>
          </w:p>
        </w:tc>
        <w:tc>
          <w:tcPr>
            <w:tcW w:w="2280" w:type="dxa"/>
            <w:vAlign w:val="center"/>
          </w:tcPr>
          <w:p w14:paraId="4BB5D8CE" w14:textId="77777777" w:rsidR="00FC097F" w:rsidRDefault="00FC097F" w:rsidP="000951C1">
            <w:pPr>
              <w:jc w:val="center"/>
            </w:pPr>
            <w:r>
              <w:rPr>
                <w:sz w:val="18"/>
              </w:rPr>
              <w:t>0,810</w:t>
            </w:r>
          </w:p>
        </w:tc>
        <w:tc>
          <w:tcPr>
            <w:tcW w:w="2280" w:type="dxa"/>
            <w:vAlign w:val="center"/>
          </w:tcPr>
          <w:p w14:paraId="1A4B3A7E" w14:textId="77777777" w:rsidR="00FC097F" w:rsidRDefault="00FC097F" w:rsidP="000951C1">
            <w:pPr>
              <w:jc w:val="center"/>
            </w:pPr>
            <w:proofErr w:type="spellStart"/>
            <w:r>
              <w:rPr>
                <w:sz w:val="18"/>
              </w:rPr>
              <w:t>Κυμ</w:t>
            </w:r>
            <w:proofErr w:type="spellEnd"/>
            <w:r>
              <w:rPr>
                <w:sz w:val="18"/>
              </w:rPr>
              <w:t xml:space="preserve">αινόμενος </w:t>
            </w:r>
            <w:proofErr w:type="spellStart"/>
            <w:r>
              <w:rPr>
                <w:sz w:val="18"/>
              </w:rPr>
              <w:t>λόγος</w:t>
            </w:r>
            <w:proofErr w:type="spellEnd"/>
            <w:r>
              <w:rPr>
                <w:sz w:val="18"/>
              </w:rPr>
              <w:t xml:space="preserve"> α</w:t>
            </w:r>
            <w:proofErr w:type="spellStart"/>
            <w:r>
              <w:rPr>
                <w:sz w:val="18"/>
              </w:rPr>
              <w:t>ντιστάθμισης</w:t>
            </w:r>
            <w:proofErr w:type="spellEnd"/>
          </w:p>
        </w:tc>
      </w:tr>
    </w:tbl>
    <w:p w14:paraId="65F12B3E" w14:textId="77777777" w:rsidR="00AF3BEE" w:rsidRDefault="00AF3BEE" w:rsidP="00FC097F">
      <w:pPr>
        <w:pStyle w:val="af3"/>
        <w:keepNext/>
        <w:spacing w:after="60"/>
        <w:jc w:val="center"/>
        <w:rPr>
          <w:sz w:val="20"/>
          <w:lang w:val="el-GR"/>
        </w:rPr>
      </w:pPr>
    </w:p>
    <w:p w14:paraId="0250618C" w14:textId="77777777" w:rsidR="00FC097F" w:rsidRDefault="00FC097F" w:rsidP="00FC097F">
      <w:pPr>
        <w:jc w:val="center"/>
      </w:pPr>
      <w:r>
        <w:rPr>
          <w:noProof/>
        </w:rPr>
        <w:drawing>
          <wp:inline distT="0" distB="0" distL="0" distR="0" wp14:anchorId="23C1DFE6" wp14:editId="5FB74362">
            <wp:extent cx="5212080" cy="29939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4_4_hedge_ratio.png"/>
                    <pic:cNvPicPr/>
                  </pic:nvPicPr>
                  <pic:blipFill>
                    <a:blip r:embed="rId14"/>
                    <a:stretch>
                      <a:fillRect/>
                    </a:stretch>
                  </pic:blipFill>
                  <pic:spPr>
                    <a:xfrm>
                      <a:off x="0" y="0"/>
                      <a:ext cx="5212080" cy="2993984"/>
                    </a:xfrm>
                    <a:prstGeom prst="rect">
                      <a:avLst/>
                    </a:prstGeom>
                  </pic:spPr>
                </pic:pic>
              </a:graphicData>
            </a:graphic>
          </wp:inline>
        </w:drawing>
      </w:r>
    </w:p>
    <w:p w14:paraId="6CE249CA" w14:textId="77777777" w:rsidR="000918E9" w:rsidRPr="00FC097F" w:rsidRDefault="000918E9" w:rsidP="000918E9">
      <w:pPr>
        <w:pStyle w:val="af3"/>
        <w:keepNext/>
        <w:spacing w:after="60"/>
        <w:jc w:val="center"/>
        <w:rPr>
          <w:lang w:val="el-GR"/>
        </w:rPr>
      </w:pPr>
      <w:r w:rsidRPr="00FC097F">
        <w:rPr>
          <w:sz w:val="20"/>
          <w:lang w:val="el-GR"/>
        </w:rPr>
        <w:t>Διάγραμμα 4.4: Εξέλιξη του δυναμικού λόγου αντιστάθμισης</w:t>
      </w:r>
    </w:p>
    <w:p w14:paraId="3FD86D34" w14:textId="77777777" w:rsidR="000918E9" w:rsidRDefault="000918E9" w:rsidP="00FC097F">
      <w:pPr>
        <w:pStyle w:val="af"/>
        <w:rPr>
          <w:lang w:val="el-GR"/>
        </w:rPr>
      </w:pPr>
    </w:p>
    <w:p w14:paraId="60BADC46" w14:textId="37046D0D" w:rsidR="00FC097F" w:rsidRPr="005B30C1" w:rsidRDefault="00FC097F" w:rsidP="00FC097F">
      <w:pPr>
        <w:pStyle w:val="af"/>
        <w:rPr>
          <w:lang w:val="el-GR"/>
        </w:rPr>
      </w:pPr>
      <w:r w:rsidRPr="005B30C1">
        <w:rPr>
          <w:lang w:val="el-GR"/>
        </w:rPr>
        <w:t xml:space="preserve">Η μείωση της μεταβλητότητας συνοδεύεται και από περιορισμό των ακραίων ημερήσιων μεταβολών. Στο δείγμα </w:t>
      </w:r>
      <w:proofErr w:type="spellStart"/>
      <w:r>
        <w:t>backtesting</w:t>
      </w:r>
      <w:proofErr w:type="spellEnd"/>
      <w:r w:rsidRPr="005B30C1">
        <w:rPr>
          <w:lang w:val="el-GR"/>
        </w:rPr>
        <w:t>, η ελάχιστη ημερήσια απόδοση του αρχικού χαρτοφυλακίου είναι -5,519%, ενώ μετά την αντιστάθμιση περιορίζεται σε -2,546%. Παράλληλα, μειώνεται και η μέγιστη θετική ημερήσια απόδοση, από 6,537% σε 2,450%, γεγονός που επιβεβαιώνει τη βασική αρχή της αντιστάθμισης: η προστασία από ζημίες συνοδεύεται από περιορισμό μέρους της ανοδικής συμμετοχής.</w:t>
      </w:r>
    </w:p>
    <w:p w14:paraId="7BA14DE8" w14:textId="77777777" w:rsidR="00FC097F" w:rsidRPr="005B30C1" w:rsidRDefault="00FC097F" w:rsidP="00FC097F">
      <w:pPr>
        <w:pStyle w:val="af"/>
        <w:rPr>
          <w:lang w:val="el-GR"/>
        </w:rPr>
      </w:pPr>
      <w:r w:rsidRPr="005B30C1">
        <w:rPr>
          <w:lang w:val="el-GR"/>
        </w:rPr>
        <w:lastRenderedPageBreak/>
        <w:t xml:space="preserve">Ο μέσος λόγος αντιστάθμισης που προκύπτει από το πλήρες δείγμα είναι 0,810, με ελάχιστη τιμή 0,179 και μέγιστη τιμή 1,747. Η μεταβολή αυτή δείχνει ότι η σχέση μεταξύ του χαρτοφυλακίου και του </w:t>
      </w:r>
      <w:r>
        <w:t>futures</w:t>
      </w:r>
      <w:r w:rsidRPr="005B30C1">
        <w:rPr>
          <w:lang w:val="el-GR"/>
        </w:rPr>
        <w:t xml:space="preserve"> δεν είναι σταθερή στον χρόνο. Υπάρχουν περίοδοι όπου το χαρτοφυλάκιο κινείται πιο κοντά στον δείκτη και περίοδοι όπου ο ειδικός κίνδυνος των επιμέρους μετοχών έχει μεγαλύτερη σημασία. Για τον λόγο αυτό, η χρήση δυναμικού </w:t>
      </w:r>
      <w:r>
        <w:t>hedge</w:t>
      </w:r>
      <w:r w:rsidRPr="005B30C1">
        <w:rPr>
          <w:lang w:val="el-GR"/>
        </w:rPr>
        <w:t xml:space="preserve"> </w:t>
      </w:r>
      <w:r>
        <w:t>ratio</w:t>
      </w:r>
      <w:r w:rsidRPr="005B30C1">
        <w:rPr>
          <w:lang w:val="el-GR"/>
        </w:rPr>
        <w:t xml:space="preserve"> είναι πιο κατάλληλη από έναν πλήρως σταθερό λόγο αντιστάθμισης.</w:t>
      </w:r>
    </w:p>
    <w:p w14:paraId="7636C460" w14:textId="77777777" w:rsidR="00FC097F" w:rsidRPr="005B30C1" w:rsidRDefault="00FC097F" w:rsidP="00FC097F">
      <w:pPr>
        <w:pStyle w:val="af"/>
        <w:rPr>
          <w:lang w:val="el-GR"/>
        </w:rPr>
      </w:pPr>
      <w:r w:rsidRPr="005B30C1">
        <w:rPr>
          <w:lang w:val="el-GR"/>
        </w:rPr>
        <w:t>Η εφαρμογή της αντιστάθμισης μειώνει ουσιαστικά τη μεταβλητότητα. Στο πλήρες δείγμα, η τυπική απόκλιση του αρχικού χαρτοφυλακίου είναι 1,348%, ενώ η τυπική απόκλιση του αντισταθμισμένου χαρτοφυλακίου είναι 0,659%. Η μείωση ανέρχεται περίπου σε 51,11%. Αυτό είναι το πρώτο ισχυρό εμπειρικό στοιχείο ότι η αντιστάθμιση επιτελεί τον βασικό της σκοπό, δηλαδή τον περιορισμό της διακύμανσης των αποδόσεων.</w:t>
      </w:r>
    </w:p>
    <w:p w14:paraId="2E1883E6" w14:textId="77777777" w:rsidR="00FC097F" w:rsidRPr="005B30C1" w:rsidRDefault="00FC097F" w:rsidP="00FC097F">
      <w:pPr>
        <w:pStyle w:val="af"/>
        <w:rPr>
          <w:lang w:val="el-GR"/>
        </w:rPr>
      </w:pPr>
      <w:r w:rsidRPr="005B30C1">
        <w:rPr>
          <w:lang w:val="el-GR"/>
        </w:rPr>
        <w:t xml:space="preserve">Παρόλα αυτά, η αντιστάθμιση δεν μηδενίζει τον κίνδυνο. Η ελάχιστη ημερήσια αντισταθμισμένη απόδοση στο πλήρες δείγμα είναι -6,606%, ενώ η μέγιστη είναι 7,867%. Αυτό σημαίνει ότι παραμένει υπολειπόμενος κίνδυνος, ο οποίος μπορεί να οφείλεται σε </w:t>
      </w:r>
      <w:r>
        <w:t>basis</w:t>
      </w:r>
      <w:r w:rsidRPr="005B30C1">
        <w:rPr>
          <w:lang w:val="el-GR"/>
        </w:rPr>
        <w:t xml:space="preserve"> </w:t>
      </w:r>
      <w:r>
        <w:t>risk</w:t>
      </w:r>
      <w:r w:rsidRPr="005B30C1">
        <w:rPr>
          <w:lang w:val="el-GR"/>
        </w:rPr>
        <w:t xml:space="preserve">, σε ατελή συσχέτιση των μετοχών με τον δείκτη, σε κλαδικές ιδιαιτερότητες ή σε μεταβολές του </w:t>
      </w:r>
      <w:r>
        <w:t>hedge</w:t>
      </w:r>
      <w:r w:rsidRPr="005B30C1">
        <w:rPr>
          <w:lang w:val="el-GR"/>
        </w:rPr>
        <w:t xml:space="preserve"> </w:t>
      </w:r>
      <w:r>
        <w:t>ratio</w:t>
      </w:r>
      <w:r w:rsidRPr="005B30C1">
        <w:rPr>
          <w:lang w:val="el-GR"/>
        </w:rPr>
        <w:t>. Επομένως, η αντιστάθμιση μειώνει τον κίνδυνο αλλά δεν τον εξαφανίζει.</w:t>
      </w:r>
    </w:p>
    <w:p w14:paraId="7D88CD1E" w14:textId="77777777" w:rsidR="00FC097F" w:rsidRPr="005B30C1" w:rsidRDefault="00FC097F" w:rsidP="00321E2E">
      <w:pPr>
        <w:pStyle w:val="21"/>
        <w:rPr>
          <w:lang w:val="el-GR"/>
        </w:rPr>
      </w:pPr>
      <w:bookmarkStart w:id="65" w:name="_Toc232171093"/>
      <w:bookmarkStart w:id="66" w:name="X94dfa2b039739212ffcf0cee3d778c31299b347"/>
      <w:bookmarkEnd w:id="64"/>
      <w:r w:rsidRPr="005B30C1">
        <w:rPr>
          <w:rFonts w:eastAsia="Times New Roman"/>
          <w:lang w:val="el-GR"/>
        </w:rPr>
        <w:t xml:space="preserve">4.5 </w:t>
      </w:r>
      <w:proofErr w:type="spellStart"/>
      <w:r>
        <w:rPr>
          <w:rFonts w:eastAsia="Times New Roman"/>
        </w:rPr>
        <w:t>VaR</w:t>
      </w:r>
      <w:proofErr w:type="spellEnd"/>
      <w:r w:rsidRPr="005B30C1">
        <w:rPr>
          <w:rFonts w:eastAsia="Times New Roman"/>
          <w:lang w:val="el-GR"/>
        </w:rPr>
        <w:t xml:space="preserve"> και </w:t>
      </w:r>
      <w:proofErr w:type="spellStart"/>
      <w:r>
        <w:rPr>
          <w:rFonts w:eastAsia="Times New Roman"/>
        </w:rPr>
        <w:t>backtesting</w:t>
      </w:r>
      <w:proofErr w:type="spellEnd"/>
      <w:r w:rsidRPr="005B30C1">
        <w:rPr>
          <w:rFonts w:eastAsia="Times New Roman"/>
          <w:lang w:val="el-GR"/>
        </w:rPr>
        <w:t xml:space="preserve"> μετά την αντιστάθμιση</w:t>
      </w:r>
      <w:bookmarkEnd w:id="65"/>
    </w:p>
    <w:p w14:paraId="0431EB71" w14:textId="77777777" w:rsidR="00FC097F" w:rsidRPr="005B30C1" w:rsidRDefault="00FC097F" w:rsidP="00FC097F">
      <w:pPr>
        <w:ind w:firstLine="357"/>
        <w:rPr>
          <w:lang w:val="el-GR"/>
        </w:rPr>
      </w:pPr>
      <w:r w:rsidRPr="005B30C1">
        <w:rPr>
          <w:lang w:val="el-GR"/>
        </w:rPr>
        <w:t xml:space="preserve">Μετά την αντιστάθμιση, οι μέσες εκτιμήσεις </w:t>
      </w:r>
      <w:proofErr w:type="spellStart"/>
      <w:r>
        <w:t>VaR</w:t>
      </w:r>
      <w:proofErr w:type="spellEnd"/>
      <w:r w:rsidRPr="005B30C1">
        <w:rPr>
          <w:lang w:val="el-GR"/>
        </w:rPr>
        <w:t xml:space="preserve"> μειώνονται σημαντικά. Η μέση ημερήσια </w:t>
      </w:r>
      <w:r>
        <w:t>EWMA</w:t>
      </w:r>
      <w:r w:rsidRPr="005B30C1">
        <w:rPr>
          <w:lang w:val="el-GR"/>
        </w:rPr>
        <w:t xml:space="preserve"> </w:t>
      </w:r>
      <w:proofErr w:type="spellStart"/>
      <w:r>
        <w:t>VaR</w:t>
      </w:r>
      <w:proofErr w:type="spellEnd"/>
      <w:r w:rsidRPr="005B30C1">
        <w:rPr>
          <w:lang w:val="el-GR"/>
        </w:rPr>
        <w:t xml:space="preserve"> μειώνεται από 2,19% σε 1,23%, ενώ η μέση ημερήσια </w:t>
      </w:r>
      <w:r>
        <w:t>Historical</w:t>
      </w:r>
      <w:r w:rsidRPr="005B30C1">
        <w:rPr>
          <w:lang w:val="el-GR"/>
        </w:rPr>
        <w:t xml:space="preserve"> </w:t>
      </w:r>
      <w:proofErr w:type="spellStart"/>
      <w:r>
        <w:t>VaR</w:t>
      </w:r>
      <w:proofErr w:type="spellEnd"/>
      <w:r w:rsidRPr="005B30C1">
        <w:rPr>
          <w:lang w:val="el-GR"/>
        </w:rPr>
        <w:t xml:space="preserve"> μειώνεται από 2,76% σε 1,48%. Η μείωση είναι ουσιαστική και στις δύο μεθόδους, γεγονός που συνδέεται με τη χαμηλότερη μεταβλητότητα του αντισταθμισμένου χαρτοφυλακίου.</w:t>
      </w:r>
    </w:p>
    <w:p w14:paraId="0A220520" w14:textId="77777777" w:rsidR="00FC097F" w:rsidRPr="005B30C1" w:rsidRDefault="00FC097F" w:rsidP="00FC097F">
      <w:pPr>
        <w:pStyle w:val="af3"/>
        <w:keepNext/>
        <w:spacing w:after="60"/>
        <w:jc w:val="center"/>
        <w:rPr>
          <w:lang w:val="el-GR"/>
        </w:rPr>
      </w:pPr>
      <w:r w:rsidRPr="005B30C1">
        <w:rPr>
          <w:lang w:val="el-GR"/>
        </w:rPr>
        <w:t xml:space="preserve">Πίνακας 4.6: Σύγκριση μέσης ημερήσιας </w:t>
      </w:r>
      <w:proofErr w:type="spellStart"/>
      <w:r>
        <w:t>VaR</w:t>
      </w:r>
      <w:proofErr w:type="spellEnd"/>
      <w:r w:rsidRPr="005B30C1">
        <w:rPr>
          <w:lang w:val="el-GR"/>
        </w:rPr>
        <w:t xml:space="preserve"> πριν και μετά την αντιστάθμιση</w:t>
      </w:r>
    </w:p>
    <w:tbl>
      <w:tblPr>
        <w:tblStyle w:val="afa"/>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22"/>
        <w:gridCol w:w="1823"/>
        <w:gridCol w:w="1823"/>
        <w:gridCol w:w="1822"/>
        <w:gridCol w:w="1822"/>
      </w:tblGrid>
      <w:tr w:rsidR="00FC097F" w14:paraId="3D69E5FE" w14:textId="77777777" w:rsidTr="000951C1">
        <w:trPr>
          <w:cantSplit/>
          <w:tblHeader/>
          <w:jc w:val="center"/>
        </w:trPr>
        <w:tc>
          <w:tcPr>
            <w:tcW w:w="1824" w:type="dxa"/>
            <w:shd w:val="clear" w:color="auto" w:fill="D9EAF7"/>
            <w:vAlign w:val="center"/>
          </w:tcPr>
          <w:p w14:paraId="562B6382" w14:textId="77777777" w:rsidR="00FC097F" w:rsidRDefault="00FC097F" w:rsidP="000951C1">
            <w:pPr>
              <w:jc w:val="center"/>
            </w:pPr>
            <w:proofErr w:type="spellStart"/>
            <w:r>
              <w:rPr>
                <w:b/>
                <w:sz w:val="18"/>
              </w:rPr>
              <w:t>Μέθοδος</w:t>
            </w:r>
            <w:proofErr w:type="spellEnd"/>
          </w:p>
        </w:tc>
        <w:tc>
          <w:tcPr>
            <w:tcW w:w="1824" w:type="dxa"/>
            <w:shd w:val="clear" w:color="auto" w:fill="D9EAF7"/>
            <w:vAlign w:val="center"/>
          </w:tcPr>
          <w:p w14:paraId="5995459F" w14:textId="77777777" w:rsidR="00FC097F" w:rsidRDefault="00FC097F" w:rsidP="000951C1">
            <w:pPr>
              <w:jc w:val="center"/>
            </w:pPr>
            <w:proofErr w:type="spellStart"/>
            <w:r>
              <w:rPr>
                <w:b/>
                <w:sz w:val="18"/>
              </w:rPr>
              <w:t>Μέση</w:t>
            </w:r>
            <w:proofErr w:type="spellEnd"/>
            <w:r>
              <w:rPr>
                <w:b/>
                <w:sz w:val="18"/>
              </w:rPr>
              <w:t xml:space="preserve"> </w:t>
            </w:r>
            <w:proofErr w:type="spellStart"/>
            <w:r>
              <w:rPr>
                <w:b/>
                <w:sz w:val="18"/>
              </w:rPr>
              <w:t>ημερήσι</w:t>
            </w:r>
            <w:proofErr w:type="spellEnd"/>
            <w:r>
              <w:rPr>
                <w:b/>
                <w:sz w:val="18"/>
              </w:rPr>
              <w:t xml:space="preserve">α </w:t>
            </w:r>
            <w:proofErr w:type="spellStart"/>
            <w:r>
              <w:rPr>
                <w:b/>
                <w:sz w:val="18"/>
              </w:rPr>
              <w:t>VaR</w:t>
            </w:r>
            <w:proofErr w:type="spellEnd"/>
            <w:r>
              <w:rPr>
                <w:b/>
                <w:sz w:val="18"/>
              </w:rPr>
              <w:t xml:space="preserve"> π</w:t>
            </w:r>
            <w:proofErr w:type="spellStart"/>
            <w:r>
              <w:rPr>
                <w:b/>
                <w:sz w:val="18"/>
              </w:rPr>
              <w:t>ριν</w:t>
            </w:r>
            <w:proofErr w:type="spellEnd"/>
          </w:p>
        </w:tc>
        <w:tc>
          <w:tcPr>
            <w:tcW w:w="1824" w:type="dxa"/>
            <w:shd w:val="clear" w:color="auto" w:fill="D9EAF7"/>
            <w:vAlign w:val="center"/>
          </w:tcPr>
          <w:p w14:paraId="4E9CC4F8" w14:textId="77777777" w:rsidR="00FC097F" w:rsidRDefault="00FC097F" w:rsidP="000951C1">
            <w:pPr>
              <w:jc w:val="center"/>
            </w:pPr>
            <w:proofErr w:type="spellStart"/>
            <w:r>
              <w:rPr>
                <w:b/>
                <w:sz w:val="18"/>
              </w:rPr>
              <w:t>Μέση</w:t>
            </w:r>
            <w:proofErr w:type="spellEnd"/>
            <w:r>
              <w:rPr>
                <w:b/>
                <w:sz w:val="18"/>
              </w:rPr>
              <w:t xml:space="preserve"> </w:t>
            </w:r>
            <w:proofErr w:type="spellStart"/>
            <w:r>
              <w:rPr>
                <w:b/>
                <w:sz w:val="18"/>
              </w:rPr>
              <w:t>ημερήσι</w:t>
            </w:r>
            <w:proofErr w:type="spellEnd"/>
            <w:r>
              <w:rPr>
                <w:b/>
                <w:sz w:val="18"/>
              </w:rPr>
              <w:t xml:space="preserve">α </w:t>
            </w:r>
            <w:proofErr w:type="spellStart"/>
            <w:r>
              <w:rPr>
                <w:b/>
                <w:sz w:val="18"/>
              </w:rPr>
              <w:t>VaR</w:t>
            </w:r>
            <w:proofErr w:type="spellEnd"/>
            <w:r>
              <w:rPr>
                <w:b/>
                <w:sz w:val="18"/>
              </w:rPr>
              <w:t xml:space="preserve"> </w:t>
            </w:r>
            <w:proofErr w:type="spellStart"/>
            <w:r>
              <w:rPr>
                <w:b/>
                <w:sz w:val="18"/>
              </w:rPr>
              <w:t>μετά</w:t>
            </w:r>
            <w:proofErr w:type="spellEnd"/>
          </w:p>
        </w:tc>
        <w:tc>
          <w:tcPr>
            <w:tcW w:w="1824" w:type="dxa"/>
            <w:shd w:val="clear" w:color="auto" w:fill="D9EAF7"/>
            <w:vAlign w:val="center"/>
          </w:tcPr>
          <w:p w14:paraId="6F3D409F" w14:textId="77777777" w:rsidR="00FC097F" w:rsidRDefault="00FC097F" w:rsidP="000951C1">
            <w:pPr>
              <w:jc w:val="center"/>
            </w:pPr>
            <w:proofErr w:type="spellStart"/>
            <w:r>
              <w:rPr>
                <w:b/>
                <w:sz w:val="18"/>
              </w:rPr>
              <w:t>Μείωση</w:t>
            </w:r>
            <w:proofErr w:type="spellEnd"/>
            <w:r>
              <w:rPr>
                <w:b/>
                <w:sz w:val="18"/>
              </w:rPr>
              <w:t xml:space="preserve"> </w:t>
            </w:r>
            <w:proofErr w:type="spellStart"/>
            <w:r>
              <w:rPr>
                <w:b/>
                <w:sz w:val="18"/>
              </w:rPr>
              <w:t>VaR</w:t>
            </w:r>
            <w:proofErr w:type="spellEnd"/>
          </w:p>
        </w:tc>
        <w:tc>
          <w:tcPr>
            <w:tcW w:w="1824" w:type="dxa"/>
            <w:shd w:val="clear" w:color="auto" w:fill="D9EAF7"/>
            <w:vAlign w:val="center"/>
          </w:tcPr>
          <w:p w14:paraId="1BE50E7F" w14:textId="77777777" w:rsidR="00FC097F" w:rsidRDefault="00FC097F" w:rsidP="000951C1">
            <w:pPr>
              <w:jc w:val="center"/>
            </w:pPr>
            <w:proofErr w:type="spellStart"/>
            <w:r>
              <w:rPr>
                <w:b/>
                <w:sz w:val="18"/>
              </w:rPr>
              <w:t>Μέση</w:t>
            </w:r>
            <w:proofErr w:type="spellEnd"/>
            <w:r>
              <w:rPr>
                <w:b/>
                <w:sz w:val="18"/>
              </w:rPr>
              <w:t xml:space="preserve"> </w:t>
            </w:r>
            <w:proofErr w:type="spellStart"/>
            <w:r>
              <w:rPr>
                <w:b/>
                <w:sz w:val="18"/>
              </w:rPr>
              <w:t>VaR</w:t>
            </w:r>
            <w:proofErr w:type="spellEnd"/>
            <w:r>
              <w:rPr>
                <w:b/>
                <w:sz w:val="18"/>
              </w:rPr>
              <w:t xml:space="preserve"> </w:t>
            </w:r>
            <w:proofErr w:type="spellStart"/>
            <w:r>
              <w:rPr>
                <w:b/>
                <w:sz w:val="18"/>
              </w:rPr>
              <w:t>μετά</w:t>
            </w:r>
            <w:proofErr w:type="spellEnd"/>
            <w:r>
              <w:rPr>
                <w:b/>
                <w:sz w:val="18"/>
              </w:rPr>
              <w:t xml:space="preserve"> </w:t>
            </w:r>
            <w:proofErr w:type="spellStart"/>
            <w:r>
              <w:rPr>
                <w:b/>
                <w:sz w:val="18"/>
              </w:rPr>
              <w:t>σε</w:t>
            </w:r>
            <w:proofErr w:type="spellEnd"/>
            <w:r>
              <w:rPr>
                <w:b/>
                <w:sz w:val="18"/>
              </w:rPr>
              <w:t xml:space="preserve"> €</w:t>
            </w:r>
          </w:p>
        </w:tc>
      </w:tr>
      <w:tr w:rsidR="00FC097F" w14:paraId="6E153A96" w14:textId="77777777" w:rsidTr="000951C1">
        <w:trPr>
          <w:cantSplit/>
          <w:jc w:val="center"/>
        </w:trPr>
        <w:tc>
          <w:tcPr>
            <w:tcW w:w="1824" w:type="dxa"/>
            <w:vAlign w:val="center"/>
          </w:tcPr>
          <w:p w14:paraId="22A92288" w14:textId="77777777" w:rsidR="00FC097F" w:rsidRDefault="00FC097F" w:rsidP="000951C1">
            <w:pPr>
              <w:jc w:val="center"/>
            </w:pPr>
            <w:r>
              <w:rPr>
                <w:sz w:val="18"/>
              </w:rPr>
              <w:t xml:space="preserve">EWMA </w:t>
            </w:r>
            <w:proofErr w:type="spellStart"/>
            <w:r>
              <w:rPr>
                <w:sz w:val="18"/>
              </w:rPr>
              <w:t>VaR</w:t>
            </w:r>
            <w:proofErr w:type="spellEnd"/>
            <w:r>
              <w:rPr>
                <w:sz w:val="18"/>
              </w:rPr>
              <w:t xml:space="preserve"> 99%</w:t>
            </w:r>
          </w:p>
        </w:tc>
        <w:tc>
          <w:tcPr>
            <w:tcW w:w="1824" w:type="dxa"/>
            <w:vAlign w:val="center"/>
          </w:tcPr>
          <w:p w14:paraId="4D9E8C67" w14:textId="77777777" w:rsidR="00FC097F" w:rsidRDefault="00FC097F" w:rsidP="000951C1">
            <w:pPr>
              <w:jc w:val="center"/>
            </w:pPr>
            <w:r>
              <w:rPr>
                <w:sz w:val="18"/>
              </w:rPr>
              <w:t>2,19%</w:t>
            </w:r>
          </w:p>
        </w:tc>
        <w:tc>
          <w:tcPr>
            <w:tcW w:w="1824" w:type="dxa"/>
            <w:vAlign w:val="center"/>
          </w:tcPr>
          <w:p w14:paraId="567D32D1" w14:textId="77777777" w:rsidR="00FC097F" w:rsidRDefault="00FC097F" w:rsidP="000951C1">
            <w:pPr>
              <w:jc w:val="center"/>
            </w:pPr>
            <w:r>
              <w:rPr>
                <w:sz w:val="18"/>
              </w:rPr>
              <w:t>1,23%</w:t>
            </w:r>
          </w:p>
        </w:tc>
        <w:tc>
          <w:tcPr>
            <w:tcW w:w="1824" w:type="dxa"/>
            <w:vAlign w:val="center"/>
          </w:tcPr>
          <w:p w14:paraId="1C136F3E" w14:textId="77777777" w:rsidR="00FC097F" w:rsidRDefault="00FC097F" w:rsidP="000951C1">
            <w:pPr>
              <w:jc w:val="center"/>
            </w:pPr>
            <w:r>
              <w:rPr>
                <w:sz w:val="18"/>
              </w:rPr>
              <w:t>43,73%</w:t>
            </w:r>
          </w:p>
        </w:tc>
        <w:tc>
          <w:tcPr>
            <w:tcW w:w="1824" w:type="dxa"/>
            <w:vAlign w:val="center"/>
          </w:tcPr>
          <w:p w14:paraId="309F65E8" w14:textId="77777777" w:rsidR="00FC097F" w:rsidRDefault="00FC097F" w:rsidP="000951C1">
            <w:pPr>
              <w:jc w:val="center"/>
            </w:pPr>
            <w:r>
              <w:rPr>
                <w:sz w:val="18"/>
              </w:rPr>
              <w:t>12.313</w:t>
            </w:r>
          </w:p>
        </w:tc>
      </w:tr>
      <w:tr w:rsidR="00FC097F" w14:paraId="4F1647F3" w14:textId="77777777" w:rsidTr="000951C1">
        <w:trPr>
          <w:cantSplit/>
          <w:jc w:val="center"/>
        </w:trPr>
        <w:tc>
          <w:tcPr>
            <w:tcW w:w="1824" w:type="dxa"/>
            <w:shd w:val="clear" w:color="auto" w:fill="F7F7F7"/>
            <w:vAlign w:val="center"/>
          </w:tcPr>
          <w:p w14:paraId="3F758D5F" w14:textId="77777777" w:rsidR="00FC097F" w:rsidRDefault="00FC097F" w:rsidP="000951C1">
            <w:pPr>
              <w:jc w:val="center"/>
            </w:pPr>
            <w:r>
              <w:rPr>
                <w:sz w:val="18"/>
              </w:rPr>
              <w:t xml:space="preserve">Historical </w:t>
            </w:r>
            <w:proofErr w:type="spellStart"/>
            <w:r>
              <w:rPr>
                <w:sz w:val="18"/>
              </w:rPr>
              <w:t>VaR</w:t>
            </w:r>
            <w:proofErr w:type="spellEnd"/>
            <w:r>
              <w:rPr>
                <w:sz w:val="18"/>
              </w:rPr>
              <w:t xml:space="preserve"> 99%</w:t>
            </w:r>
          </w:p>
        </w:tc>
        <w:tc>
          <w:tcPr>
            <w:tcW w:w="1824" w:type="dxa"/>
            <w:shd w:val="clear" w:color="auto" w:fill="F7F7F7"/>
            <w:vAlign w:val="center"/>
          </w:tcPr>
          <w:p w14:paraId="1BBD392D" w14:textId="77777777" w:rsidR="00FC097F" w:rsidRDefault="00FC097F" w:rsidP="000951C1">
            <w:pPr>
              <w:jc w:val="center"/>
            </w:pPr>
            <w:r>
              <w:rPr>
                <w:sz w:val="18"/>
              </w:rPr>
              <w:t>2,76%</w:t>
            </w:r>
          </w:p>
        </w:tc>
        <w:tc>
          <w:tcPr>
            <w:tcW w:w="1824" w:type="dxa"/>
            <w:shd w:val="clear" w:color="auto" w:fill="F7F7F7"/>
            <w:vAlign w:val="center"/>
          </w:tcPr>
          <w:p w14:paraId="454727A6" w14:textId="77777777" w:rsidR="00FC097F" w:rsidRDefault="00FC097F" w:rsidP="000951C1">
            <w:pPr>
              <w:jc w:val="center"/>
            </w:pPr>
            <w:r>
              <w:rPr>
                <w:sz w:val="18"/>
              </w:rPr>
              <w:t>1,48%</w:t>
            </w:r>
          </w:p>
        </w:tc>
        <w:tc>
          <w:tcPr>
            <w:tcW w:w="1824" w:type="dxa"/>
            <w:shd w:val="clear" w:color="auto" w:fill="F7F7F7"/>
            <w:vAlign w:val="center"/>
          </w:tcPr>
          <w:p w14:paraId="55C8DCE7" w14:textId="77777777" w:rsidR="00FC097F" w:rsidRDefault="00FC097F" w:rsidP="000951C1">
            <w:pPr>
              <w:jc w:val="center"/>
            </w:pPr>
            <w:r>
              <w:rPr>
                <w:sz w:val="18"/>
              </w:rPr>
              <w:t>46,60%</w:t>
            </w:r>
          </w:p>
        </w:tc>
        <w:tc>
          <w:tcPr>
            <w:tcW w:w="1824" w:type="dxa"/>
            <w:shd w:val="clear" w:color="auto" w:fill="F7F7F7"/>
            <w:vAlign w:val="center"/>
          </w:tcPr>
          <w:p w14:paraId="15CF5C58" w14:textId="77777777" w:rsidR="00FC097F" w:rsidRDefault="00FC097F" w:rsidP="000951C1">
            <w:pPr>
              <w:jc w:val="center"/>
            </w:pPr>
            <w:r>
              <w:rPr>
                <w:sz w:val="18"/>
              </w:rPr>
              <w:t>14.753</w:t>
            </w:r>
          </w:p>
        </w:tc>
      </w:tr>
    </w:tbl>
    <w:p w14:paraId="538CBA51" w14:textId="77777777" w:rsidR="00FC097F" w:rsidRDefault="00FC097F" w:rsidP="00FC097F">
      <w:pPr>
        <w:jc w:val="center"/>
      </w:pPr>
      <w:r>
        <w:rPr>
          <w:noProof/>
        </w:rPr>
        <w:lastRenderedPageBreak/>
        <w:drawing>
          <wp:inline distT="0" distB="0" distL="0" distR="0" wp14:anchorId="14A0F5B9" wp14:editId="7DFF7BFE">
            <wp:extent cx="5212080" cy="29939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4_5_mean_var.png"/>
                    <pic:cNvPicPr/>
                  </pic:nvPicPr>
                  <pic:blipFill>
                    <a:blip r:embed="rId15"/>
                    <a:stretch>
                      <a:fillRect/>
                    </a:stretch>
                  </pic:blipFill>
                  <pic:spPr>
                    <a:xfrm>
                      <a:off x="0" y="0"/>
                      <a:ext cx="5212080" cy="2993984"/>
                    </a:xfrm>
                    <a:prstGeom prst="rect">
                      <a:avLst/>
                    </a:prstGeom>
                  </pic:spPr>
                </pic:pic>
              </a:graphicData>
            </a:graphic>
          </wp:inline>
        </w:drawing>
      </w:r>
    </w:p>
    <w:p w14:paraId="0EE3E9CA" w14:textId="77777777" w:rsidR="0053776F" w:rsidRPr="00FC097F" w:rsidRDefault="0053776F" w:rsidP="0053776F">
      <w:pPr>
        <w:pStyle w:val="af3"/>
        <w:keepNext/>
        <w:spacing w:after="60"/>
        <w:jc w:val="center"/>
        <w:rPr>
          <w:lang w:val="el-GR"/>
        </w:rPr>
      </w:pPr>
      <w:r w:rsidRPr="00FC097F">
        <w:rPr>
          <w:sz w:val="20"/>
          <w:lang w:val="el-GR"/>
        </w:rPr>
        <w:t xml:space="preserve">Διάγραμμα 4.5: Μέση ημερήσια </w:t>
      </w:r>
      <w:proofErr w:type="spellStart"/>
      <w:r>
        <w:rPr>
          <w:sz w:val="20"/>
        </w:rPr>
        <w:t>VaR</w:t>
      </w:r>
      <w:proofErr w:type="spellEnd"/>
      <w:r w:rsidRPr="00FC097F">
        <w:rPr>
          <w:sz w:val="20"/>
          <w:lang w:val="el-GR"/>
        </w:rPr>
        <w:t xml:space="preserve"> πριν και μετά την αντιστάθμιση</w:t>
      </w:r>
    </w:p>
    <w:p w14:paraId="6A09A3F5" w14:textId="77777777" w:rsidR="0053776F" w:rsidRDefault="0053776F" w:rsidP="00FC097F">
      <w:pPr>
        <w:pStyle w:val="af"/>
        <w:rPr>
          <w:lang w:val="el-GR"/>
        </w:rPr>
      </w:pPr>
    </w:p>
    <w:p w14:paraId="58D4848D" w14:textId="62DA4157" w:rsidR="00FC097F" w:rsidRPr="005B30C1" w:rsidRDefault="00FC097F" w:rsidP="00FC097F">
      <w:pPr>
        <w:pStyle w:val="af"/>
        <w:rPr>
          <w:lang w:val="el-GR"/>
        </w:rPr>
      </w:pPr>
      <w:r w:rsidRPr="005B30C1">
        <w:rPr>
          <w:lang w:val="el-GR"/>
        </w:rPr>
        <w:t xml:space="preserve">Η μείωση της </w:t>
      </w:r>
      <w:proofErr w:type="spellStart"/>
      <w:r>
        <w:t>VaR</w:t>
      </w:r>
      <w:proofErr w:type="spellEnd"/>
      <w:r w:rsidRPr="005B30C1">
        <w:rPr>
          <w:lang w:val="el-GR"/>
        </w:rPr>
        <w:t xml:space="preserve"> πρέπει να αξιολογηθεί παράλληλα με το </w:t>
      </w:r>
      <w:proofErr w:type="spellStart"/>
      <w:r>
        <w:t>backtesting</w:t>
      </w:r>
      <w:proofErr w:type="spellEnd"/>
      <w:r w:rsidRPr="005B30C1">
        <w:rPr>
          <w:lang w:val="el-GR"/>
        </w:rPr>
        <w:t xml:space="preserve">. Ο Πίνακας 4.7 παρουσιάζει τα αποτελέσματα του ελέγχου </w:t>
      </w:r>
      <w:r>
        <w:t>Kupiec</w:t>
      </w:r>
      <w:r w:rsidRPr="005B30C1">
        <w:rPr>
          <w:lang w:val="el-GR"/>
        </w:rPr>
        <w:t xml:space="preserve"> για το αντισταθμισμένο χαρτοφυλάκιο.</w:t>
      </w:r>
    </w:p>
    <w:p w14:paraId="6BEDE7DE" w14:textId="77777777" w:rsidR="00FC097F" w:rsidRDefault="00FC097F" w:rsidP="00FC097F">
      <w:pPr>
        <w:pStyle w:val="af3"/>
        <w:keepNext/>
        <w:spacing w:after="60"/>
        <w:jc w:val="center"/>
      </w:pPr>
      <w:proofErr w:type="spellStart"/>
      <w:r>
        <w:t>Πίν</w:t>
      </w:r>
      <w:proofErr w:type="spellEnd"/>
      <w:r>
        <w:t xml:space="preserve">ακας 4.7: </w:t>
      </w:r>
      <w:proofErr w:type="spellStart"/>
      <w:r>
        <w:t>Backtesting</w:t>
      </w:r>
      <w:proofErr w:type="spellEnd"/>
      <w:r>
        <w:t xml:space="preserve"> α</w:t>
      </w:r>
      <w:proofErr w:type="spellStart"/>
      <w:r>
        <w:t>ντιστ</w:t>
      </w:r>
      <w:proofErr w:type="spellEnd"/>
      <w:r>
        <w:t>αθμισμένου χα</w:t>
      </w:r>
      <w:proofErr w:type="spellStart"/>
      <w:r>
        <w:t>ρτοφυλ</w:t>
      </w:r>
      <w:proofErr w:type="spellEnd"/>
      <w:r>
        <w:t>ακίου</w:t>
      </w:r>
    </w:p>
    <w:tbl>
      <w:tblPr>
        <w:tblStyle w:val="afa"/>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58"/>
        <w:gridCol w:w="1344"/>
        <w:gridCol w:w="1289"/>
        <w:gridCol w:w="1232"/>
        <w:gridCol w:w="1121"/>
        <w:gridCol w:w="951"/>
        <w:gridCol w:w="1045"/>
        <w:gridCol w:w="1072"/>
      </w:tblGrid>
      <w:tr w:rsidR="00FC097F" w14:paraId="5AE6A596" w14:textId="77777777" w:rsidTr="000951C1">
        <w:trPr>
          <w:cantSplit/>
          <w:tblHeader/>
          <w:jc w:val="center"/>
        </w:trPr>
        <w:tc>
          <w:tcPr>
            <w:tcW w:w="1140" w:type="dxa"/>
            <w:shd w:val="clear" w:color="auto" w:fill="D9EAF7"/>
            <w:vAlign w:val="center"/>
          </w:tcPr>
          <w:p w14:paraId="20E516E7" w14:textId="77777777" w:rsidR="00FC097F" w:rsidRDefault="00FC097F" w:rsidP="000951C1">
            <w:pPr>
              <w:jc w:val="center"/>
            </w:pPr>
            <w:proofErr w:type="spellStart"/>
            <w:r>
              <w:rPr>
                <w:b/>
                <w:sz w:val="18"/>
              </w:rPr>
              <w:t>Μέθοδος</w:t>
            </w:r>
            <w:proofErr w:type="spellEnd"/>
          </w:p>
        </w:tc>
        <w:tc>
          <w:tcPr>
            <w:tcW w:w="1140" w:type="dxa"/>
            <w:shd w:val="clear" w:color="auto" w:fill="D9EAF7"/>
            <w:vAlign w:val="center"/>
          </w:tcPr>
          <w:p w14:paraId="0FAC5B16" w14:textId="77777777" w:rsidR="00FC097F" w:rsidRDefault="00FC097F" w:rsidP="000951C1">
            <w:pPr>
              <w:jc w:val="center"/>
            </w:pPr>
            <w:r>
              <w:rPr>
                <w:b/>
                <w:sz w:val="18"/>
              </w:rPr>
              <w:t>Παρα</w:t>
            </w:r>
            <w:proofErr w:type="spellStart"/>
            <w:r>
              <w:rPr>
                <w:b/>
                <w:sz w:val="18"/>
              </w:rPr>
              <w:t>τηρήσεις</w:t>
            </w:r>
            <w:proofErr w:type="spellEnd"/>
          </w:p>
        </w:tc>
        <w:tc>
          <w:tcPr>
            <w:tcW w:w="1140" w:type="dxa"/>
            <w:shd w:val="clear" w:color="auto" w:fill="D9EAF7"/>
            <w:vAlign w:val="center"/>
          </w:tcPr>
          <w:p w14:paraId="622F1330" w14:textId="77777777" w:rsidR="00FC097F" w:rsidRDefault="00FC097F" w:rsidP="000951C1">
            <w:pPr>
              <w:jc w:val="center"/>
            </w:pPr>
            <w:proofErr w:type="spellStart"/>
            <w:r>
              <w:rPr>
                <w:b/>
                <w:sz w:val="18"/>
              </w:rPr>
              <w:t>Αν</w:t>
            </w:r>
            <w:proofErr w:type="spellEnd"/>
            <w:r>
              <w:rPr>
                <w:b/>
                <w:sz w:val="18"/>
              </w:rPr>
              <w:t xml:space="preserve">αμενόμενες </w:t>
            </w:r>
            <w:proofErr w:type="spellStart"/>
            <w:r>
              <w:rPr>
                <w:b/>
                <w:sz w:val="18"/>
              </w:rPr>
              <w:t>εξ</w:t>
            </w:r>
            <w:proofErr w:type="spellEnd"/>
            <w:r>
              <w:rPr>
                <w:b/>
                <w:sz w:val="18"/>
              </w:rPr>
              <w:t>αιρέσεις</w:t>
            </w:r>
          </w:p>
        </w:tc>
        <w:tc>
          <w:tcPr>
            <w:tcW w:w="1140" w:type="dxa"/>
            <w:shd w:val="clear" w:color="auto" w:fill="D9EAF7"/>
            <w:vAlign w:val="center"/>
          </w:tcPr>
          <w:p w14:paraId="42FFFB1E" w14:textId="77777777" w:rsidR="00FC097F" w:rsidRDefault="00FC097F" w:rsidP="000951C1">
            <w:pPr>
              <w:jc w:val="center"/>
            </w:pPr>
            <w:proofErr w:type="spellStart"/>
            <w:r>
              <w:rPr>
                <w:b/>
                <w:sz w:val="18"/>
              </w:rPr>
              <w:t>Πρ</w:t>
            </w:r>
            <w:proofErr w:type="spellEnd"/>
            <w:r>
              <w:rPr>
                <w:b/>
                <w:sz w:val="18"/>
              </w:rPr>
              <w:t xml:space="preserve">αγματικές </w:t>
            </w:r>
            <w:proofErr w:type="spellStart"/>
            <w:r>
              <w:rPr>
                <w:b/>
                <w:sz w:val="18"/>
              </w:rPr>
              <w:t>εξ</w:t>
            </w:r>
            <w:proofErr w:type="spellEnd"/>
            <w:r>
              <w:rPr>
                <w:b/>
                <w:sz w:val="18"/>
              </w:rPr>
              <w:t>αιρέσεις</w:t>
            </w:r>
          </w:p>
        </w:tc>
        <w:tc>
          <w:tcPr>
            <w:tcW w:w="1140" w:type="dxa"/>
            <w:shd w:val="clear" w:color="auto" w:fill="D9EAF7"/>
            <w:vAlign w:val="center"/>
          </w:tcPr>
          <w:p w14:paraId="71519034" w14:textId="77777777" w:rsidR="00FC097F" w:rsidRDefault="00FC097F" w:rsidP="000951C1">
            <w:pPr>
              <w:jc w:val="center"/>
            </w:pPr>
            <w:proofErr w:type="spellStart"/>
            <w:r>
              <w:rPr>
                <w:b/>
                <w:sz w:val="18"/>
              </w:rPr>
              <w:t>Ποσοστό</w:t>
            </w:r>
            <w:proofErr w:type="spellEnd"/>
            <w:r>
              <w:rPr>
                <w:b/>
                <w:sz w:val="18"/>
              </w:rPr>
              <w:t xml:space="preserve"> </w:t>
            </w:r>
            <w:proofErr w:type="spellStart"/>
            <w:r>
              <w:rPr>
                <w:b/>
                <w:sz w:val="18"/>
              </w:rPr>
              <w:t>εξ</w:t>
            </w:r>
            <w:proofErr w:type="spellEnd"/>
            <w:r>
              <w:rPr>
                <w:b/>
                <w:sz w:val="18"/>
              </w:rPr>
              <w:t>αιρέσεων</w:t>
            </w:r>
          </w:p>
        </w:tc>
        <w:tc>
          <w:tcPr>
            <w:tcW w:w="1140" w:type="dxa"/>
            <w:shd w:val="clear" w:color="auto" w:fill="D9EAF7"/>
            <w:vAlign w:val="center"/>
          </w:tcPr>
          <w:p w14:paraId="611600B7" w14:textId="77777777" w:rsidR="00FC097F" w:rsidRDefault="00FC097F" w:rsidP="000951C1">
            <w:pPr>
              <w:jc w:val="center"/>
            </w:pPr>
            <w:proofErr w:type="spellStart"/>
            <w:r>
              <w:rPr>
                <w:b/>
                <w:sz w:val="18"/>
              </w:rPr>
              <w:t>LRuc</w:t>
            </w:r>
            <w:proofErr w:type="spellEnd"/>
          </w:p>
        </w:tc>
        <w:tc>
          <w:tcPr>
            <w:tcW w:w="1140" w:type="dxa"/>
            <w:shd w:val="clear" w:color="auto" w:fill="D9EAF7"/>
            <w:vAlign w:val="center"/>
          </w:tcPr>
          <w:p w14:paraId="242666FE" w14:textId="77777777" w:rsidR="00FC097F" w:rsidRDefault="00FC097F" w:rsidP="000951C1">
            <w:pPr>
              <w:jc w:val="center"/>
            </w:pPr>
            <w:r>
              <w:rPr>
                <w:b/>
                <w:sz w:val="18"/>
              </w:rPr>
              <w:t>p-value</w:t>
            </w:r>
          </w:p>
        </w:tc>
        <w:tc>
          <w:tcPr>
            <w:tcW w:w="1140" w:type="dxa"/>
            <w:shd w:val="clear" w:color="auto" w:fill="D9EAF7"/>
            <w:vAlign w:val="center"/>
          </w:tcPr>
          <w:p w14:paraId="7049D112" w14:textId="77777777" w:rsidR="00FC097F" w:rsidRDefault="00FC097F" w:rsidP="000951C1">
            <w:pPr>
              <w:jc w:val="center"/>
            </w:pPr>
            <w:r>
              <w:rPr>
                <w:b/>
                <w:sz w:val="18"/>
              </w:rPr>
              <w:t>Απ</w:t>
            </w:r>
            <w:proofErr w:type="spellStart"/>
            <w:r>
              <w:rPr>
                <w:b/>
                <w:sz w:val="18"/>
              </w:rPr>
              <w:t>όφ</w:t>
            </w:r>
            <w:proofErr w:type="spellEnd"/>
            <w:r>
              <w:rPr>
                <w:b/>
                <w:sz w:val="18"/>
              </w:rPr>
              <w:t>αση</w:t>
            </w:r>
          </w:p>
        </w:tc>
      </w:tr>
      <w:tr w:rsidR="00FC097F" w14:paraId="46F89A3C" w14:textId="77777777" w:rsidTr="000951C1">
        <w:trPr>
          <w:cantSplit/>
          <w:jc w:val="center"/>
        </w:trPr>
        <w:tc>
          <w:tcPr>
            <w:tcW w:w="1140" w:type="dxa"/>
            <w:vAlign w:val="center"/>
          </w:tcPr>
          <w:p w14:paraId="5D6B43AE" w14:textId="77777777" w:rsidR="00FC097F" w:rsidRDefault="00FC097F" w:rsidP="000951C1">
            <w:pPr>
              <w:jc w:val="center"/>
            </w:pPr>
            <w:r>
              <w:rPr>
                <w:sz w:val="18"/>
              </w:rPr>
              <w:t xml:space="preserve">EWMA </w:t>
            </w:r>
            <w:proofErr w:type="spellStart"/>
            <w:r>
              <w:rPr>
                <w:sz w:val="18"/>
              </w:rPr>
              <w:t>VaR</w:t>
            </w:r>
            <w:proofErr w:type="spellEnd"/>
            <w:r>
              <w:rPr>
                <w:sz w:val="18"/>
              </w:rPr>
              <w:t xml:space="preserve"> 99%</w:t>
            </w:r>
          </w:p>
        </w:tc>
        <w:tc>
          <w:tcPr>
            <w:tcW w:w="1140" w:type="dxa"/>
            <w:vAlign w:val="center"/>
          </w:tcPr>
          <w:p w14:paraId="77106265" w14:textId="77777777" w:rsidR="00FC097F" w:rsidRDefault="00FC097F" w:rsidP="000951C1">
            <w:pPr>
              <w:jc w:val="center"/>
            </w:pPr>
            <w:r>
              <w:rPr>
                <w:sz w:val="18"/>
              </w:rPr>
              <w:t>1.258</w:t>
            </w:r>
          </w:p>
        </w:tc>
        <w:tc>
          <w:tcPr>
            <w:tcW w:w="1140" w:type="dxa"/>
            <w:vAlign w:val="center"/>
          </w:tcPr>
          <w:p w14:paraId="4A9BA404" w14:textId="77777777" w:rsidR="00FC097F" w:rsidRDefault="00FC097F" w:rsidP="000951C1">
            <w:pPr>
              <w:jc w:val="center"/>
            </w:pPr>
            <w:r>
              <w:rPr>
                <w:sz w:val="18"/>
              </w:rPr>
              <w:t>12,58</w:t>
            </w:r>
          </w:p>
        </w:tc>
        <w:tc>
          <w:tcPr>
            <w:tcW w:w="1140" w:type="dxa"/>
            <w:vAlign w:val="center"/>
          </w:tcPr>
          <w:p w14:paraId="4FF019E0" w14:textId="77777777" w:rsidR="00FC097F" w:rsidRDefault="00FC097F" w:rsidP="000951C1">
            <w:pPr>
              <w:jc w:val="center"/>
            </w:pPr>
            <w:r>
              <w:rPr>
                <w:sz w:val="18"/>
              </w:rPr>
              <w:t>28</w:t>
            </w:r>
          </w:p>
        </w:tc>
        <w:tc>
          <w:tcPr>
            <w:tcW w:w="1140" w:type="dxa"/>
            <w:vAlign w:val="center"/>
          </w:tcPr>
          <w:p w14:paraId="491D79D8" w14:textId="77777777" w:rsidR="00FC097F" w:rsidRDefault="00FC097F" w:rsidP="000951C1">
            <w:pPr>
              <w:jc w:val="center"/>
            </w:pPr>
            <w:r>
              <w:rPr>
                <w:sz w:val="18"/>
              </w:rPr>
              <w:t>2,23%</w:t>
            </w:r>
          </w:p>
        </w:tc>
        <w:tc>
          <w:tcPr>
            <w:tcW w:w="1140" w:type="dxa"/>
            <w:vAlign w:val="center"/>
          </w:tcPr>
          <w:p w14:paraId="0AD83AA6" w14:textId="77777777" w:rsidR="00FC097F" w:rsidRDefault="00FC097F" w:rsidP="000951C1">
            <w:pPr>
              <w:jc w:val="center"/>
            </w:pPr>
            <w:r>
              <w:rPr>
                <w:sz w:val="18"/>
              </w:rPr>
              <w:t>14,16</w:t>
            </w:r>
          </w:p>
        </w:tc>
        <w:tc>
          <w:tcPr>
            <w:tcW w:w="1140" w:type="dxa"/>
            <w:vAlign w:val="center"/>
          </w:tcPr>
          <w:p w14:paraId="244EAA5A" w14:textId="77777777" w:rsidR="00FC097F" w:rsidRDefault="00FC097F" w:rsidP="000951C1">
            <w:pPr>
              <w:jc w:val="center"/>
            </w:pPr>
            <w:r>
              <w:rPr>
                <w:sz w:val="18"/>
              </w:rPr>
              <w:t>0,000168</w:t>
            </w:r>
          </w:p>
        </w:tc>
        <w:tc>
          <w:tcPr>
            <w:tcW w:w="1140" w:type="dxa"/>
            <w:vAlign w:val="center"/>
          </w:tcPr>
          <w:p w14:paraId="78EA1370" w14:textId="77777777" w:rsidR="00FC097F" w:rsidRDefault="00FC097F" w:rsidP="000951C1">
            <w:pPr>
              <w:jc w:val="center"/>
            </w:pPr>
            <w:r>
              <w:rPr>
                <w:sz w:val="18"/>
              </w:rPr>
              <w:t>Απ</w:t>
            </w:r>
            <w:proofErr w:type="spellStart"/>
            <w:r>
              <w:rPr>
                <w:sz w:val="18"/>
              </w:rPr>
              <w:t>όρριψη</w:t>
            </w:r>
            <w:proofErr w:type="spellEnd"/>
          </w:p>
        </w:tc>
      </w:tr>
      <w:tr w:rsidR="00FC097F" w14:paraId="62F2474C" w14:textId="77777777" w:rsidTr="000951C1">
        <w:trPr>
          <w:cantSplit/>
          <w:jc w:val="center"/>
        </w:trPr>
        <w:tc>
          <w:tcPr>
            <w:tcW w:w="1140" w:type="dxa"/>
            <w:shd w:val="clear" w:color="auto" w:fill="F7F7F7"/>
            <w:vAlign w:val="center"/>
          </w:tcPr>
          <w:p w14:paraId="4A41D506" w14:textId="77777777" w:rsidR="00FC097F" w:rsidRDefault="00FC097F" w:rsidP="000951C1">
            <w:pPr>
              <w:jc w:val="center"/>
            </w:pPr>
            <w:r>
              <w:rPr>
                <w:sz w:val="18"/>
              </w:rPr>
              <w:t xml:space="preserve">Historical </w:t>
            </w:r>
            <w:proofErr w:type="spellStart"/>
            <w:r>
              <w:rPr>
                <w:sz w:val="18"/>
              </w:rPr>
              <w:t>VaR</w:t>
            </w:r>
            <w:proofErr w:type="spellEnd"/>
            <w:r>
              <w:rPr>
                <w:sz w:val="18"/>
              </w:rPr>
              <w:t xml:space="preserve"> 99%</w:t>
            </w:r>
          </w:p>
        </w:tc>
        <w:tc>
          <w:tcPr>
            <w:tcW w:w="1140" w:type="dxa"/>
            <w:shd w:val="clear" w:color="auto" w:fill="F7F7F7"/>
            <w:vAlign w:val="center"/>
          </w:tcPr>
          <w:p w14:paraId="5A96303A" w14:textId="77777777" w:rsidR="00FC097F" w:rsidRDefault="00FC097F" w:rsidP="000951C1">
            <w:pPr>
              <w:jc w:val="center"/>
            </w:pPr>
            <w:r>
              <w:rPr>
                <w:sz w:val="18"/>
              </w:rPr>
              <w:t>1.258</w:t>
            </w:r>
          </w:p>
        </w:tc>
        <w:tc>
          <w:tcPr>
            <w:tcW w:w="1140" w:type="dxa"/>
            <w:shd w:val="clear" w:color="auto" w:fill="F7F7F7"/>
            <w:vAlign w:val="center"/>
          </w:tcPr>
          <w:p w14:paraId="4EC5143C" w14:textId="77777777" w:rsidR="00FC097F" w:rsidRDefault="00FC097F" w:rsidP="000951C1">
            <w:pPr>
              <w:jc w:val="center"/>
            </w:pPr>
            <w:r>
              <w:rPr>
                <w:sz w:val="18"/>
              </w:rPr>
              <w:t>12,58</w:t>
            </w:r>
          </w:p>
        </w:tc>
        <w:tc>
          <w:tcPr>
            <w:tcW w:w="1140" w:type="dxa"/>
            <w:shd w:val="clear" w:color="auto" w:fill="F7F7F7"/>
            <w:vAlign w:val="center"/>
          </w:tcPr>
          <w:p w14:paraId="79A6229A" w14:textId="77777777" w:rsidR="00FC097F" w:rsidRDefault="00FC097F" w:rsidP="000951C1">
            <w:pPr>
              <w:jc w:val="center"/>
            </w:pPr>
            <w:r>
              <w:rPr>
                <w:sz w:val="18"/>
              </w:rPr>
              <w:t>16</w:t>
            </w:r>
          </w:p>
        </w:tc>
        <w:tc>
          <w:tcPr>
            <w:tcW w:w="1140" w:type="dxa"/>
            <w:shd w:val="clear" w:color="auto" w:fill="F7F7F7"/>
            <w:vAlign w:val="center"/>
          </w:tcPr>
          <w:p w14:paraId="758A61DB" w14:textId="77777777" w:rsidR="00FC097F" w:rsidRDefault="00FC097F" w:rsidP="000951C1">
            <w:pPr>
              <w:jc w:val="center"/>
            </w:pPr>
            <w:r>
              <w:rPr>
                <w:sz w:val="18"/>
              </w:rPr>
              <w:t>1,27%</w:t>
            </w:r>
          </w:p>
        </w:tc>
        <w:tc>
          <w:tcPr>
            <w:tcW w:w="1140" w:type="dxa"/>
            <w:shd w:val="clear" w:color="auto" w:fill="F7F7F7"/>
            <w:vAlign w:val="center"/>
          </w:tcPr>
          <w:p w14:paraId="58D90EC2" w14:textId="77777777" w:rsidR="00FC097F" w:rsidRDefault="00FC097F" w:rsidP="000951C1">
            <w:pPr>
              <w:jc w:val="center"/>
            </w:pPr>
            <w:r>
              <w:rPr>
                <w:sz w:val="18"/>
              </w:rPr>
              <w:t>0,86</w:t>
            </w:r>
          </w:p>
        </w:tc>
        <w:tc>
          <w:tcPr>
            <w:tcW w:w="1140" w:type="dxa"/>
            <w:shd w:val="clear" w:color="auto" w:fill="F7F7F7"/>
            <w:vAlign w:val="center"/>
          </w:tcPr>
          <w:p w14:paraId="1A182097" w14:textId="77777777" w:rsidR="00FC097F" w:rsidRDefault="00FC097F" w:rsidP="000951C1">
            <w:pPr>
              <w:jc w:val="center"/>
            </w:pPr>
            <w:r>
              <w:rPr>
                <w:sz w:val="18"/>
              </w:rPr>
              <w:t>0,3524</w:t>
            </w:r>
          </w:p>
        </w:tc>
        <w:tc>
          <w:tcPr>
            <w:tcW w:w="1140" w:type="dxa"/>
            <w:shd w:val="clear" w:color="auto" w:fill="F7F7F7"/>
            <w:vAlign w:val="center"/>
          </w:tcPr>
          <w:p w14:paraId="2AA6FADA" w14:textId="77777777" w:rsidR="00FC097F" w:rsidRDefault="00FC097F" w:rsidP="000951C1">
            <w:pPr>
              <w:jc w:val="center"/>
            </w:pPr>
            <w:proofErr w:type="spellStart"/>
            <w:r>
              <w:rPr>
                <w:sz w:val="18"/>
              </w:rPr>
              <w:t>Μη</w:t>
            </w:r>
            <w:proofErr w:type="spellEnd"/>
            <w:r>
              <w:rPr>
                <w:sz w:val="18"/>
              </w:rPr>
              <w:t xml:space="preserve"> απ</w:t>
            </w:r>
            <w:proofErr w:type="spellStart"/>
            <w:r>
              <w:rPr>
                <w:sz w:val="18"/>
              </w:rPr>
              <w:t>όρριψη</w:t>
            </w:r>
            <w:proofErr w:type="spellEnd"/>
          </w:p>
        </w:tc>
      </w:tr>
    </w:tbl>
    <w:p w14:paraId="03A6211B" w14:textId="77777777" w:rsidR="00FC097F" w:rsidRPr="005B30C1" w:rsidRDefault="00FC097F" w:rsidP="00FC097F">
      <w:pPr>
        <w:pStyle w:val="af"/>
        <w:rPr>
          <w:lang w:val="el-GR"/>
        </w:rPr>
      </w:pPr>
      <w:r w:rsidRPr="005B30C1">
        <w:rPr>
          <w:lang w:val="el-GR"/>
        </w:rPr>
        <w:t xml:space="preserve">Τα αποτελέσματα μετά την αντιστάθμιση δείχνουν ότι η μείωση του κινδύνου δεν οδηγεί αυτόματα σε αποδοχή όλων των υποδειγμάτων. Η </w:t>
      </w:r>
      <w:r>
        <w:t>EWMA</w:t>
      </w:r>
      <w:r w:rsidRPr="005B30C1">
        <w:rPr>
          <w:lang w:val="el-GR"/>
        </w:rPr>
        <w:t xml:space="preserve"> </w:t>
      </w:r>
      <w:proofErr w:type="spellStart"/>
      <w:r>
        <w:t>VaR</w:t>
      </w:r>
      <w:proofErr w:type="spellEnd"/>
      <w:r w:rsidRPr="005B30C1">
        <w:rPr>
          <w:lang w:val="el-GR"/>
        </w:rPr>
        <w:t xml:space="preserve"> εμφανίζει 28 εξαιρέσεις, δηλαδή ποσοστό 2,23%, και </w:t>
      </w:r>
      <w:r>
        <w:t>p</w:t>
      </w:r>
      <w:r w:rsidRPr="005B30C1">
        <w:rPr>
          <w:lang w:val="el-GR"/>
        </w:rPr>
        <w:t>-</w:t>
      </w:r>
      <w:r>
        <w:t>value</w:t>
      </w:r>
      <w:r w:rsidRPr="005B30C1">
        <w:rPr>
          <w:lang w:val="el-GR"/>
        </w:rPr>
        <w:t xml:space="preserve"> 0,000168. Επομένως, η υπόθεση σωστής κάλυψης εξακολουθεί να απορρίπτεται. Η </w:t>
      </w:r>
      <w:r>
        <w:t>Historical</w:t>
      </w:r>
      <w:r w:rsidRPr="005B30C1">
        <w:rPr>
          <w:lang w:val="el-GR"/>
        </w:rPr>
        <w:t xml:space="preserve"> </w:t>
      </w:r>
      <w:proofErr w:type="spellStart"/>
      <w:r>
        <w:t>VaR</w:t>
      </w:r>
      <w:proofErr w:type="spellEnd"/>
      <w:r w:rsidRPr="005B30C1">
        <w:rPr>
          <w:lang w:val="el-GR"/>
        </w:rPr>
        <w:t xml:space="preserve"> εμφανίζει 16 εξαιρέσεις, δηλαδή ποσοστό 1,27%, με </w:t>
      </w:r>
      <w:r>
        <w:t>p</w:t>
      </w:r>
      <w:r w:rsidRPr="005B30C1">
        <w:rPr>
          <w:lang w:val="el-GR"/>
        </w:rPr>
        <w:t>-</w:t>
      </w:r>
      <w:r>
        <w:t>value</w:t>
      </w:r>
      <w:r w:rsidRPr="005B30C1">
        <w:rPr>
          <w:lang w:val="el-GR"/>
        </w:rPr>
        <w:t xml:space="preserve"> 0,3524, οπότε δεν απορρίπτεται η υπόθεση ανεπιφύλακτης κάλυψης.</w:t>
      </w:r>
    </w:p>
    <w:p w14:paraId="1750AAE7" w14:textId="77777777" w:rsidR="00FC097F" w:rsidRPr="005B30C1" w:rsidRDefault="00FC097F" w:rsidP="00FC097F">
      <w:pPr>
        <w:pStyle w:val="af"/>
        <w:rPr>
          <w:lang w:val="el-GR"/>
        </w:rPr>
      </w:pPr>
      <w:r w:rsidRPr="005B30C1">
        <w:rPr>
          <w:lang w:val="el-GR"/>
        </w:rPr>
        <w:t xml:space="preserve">Η αντιστάθμιση επομένως μειώνει ουσιαστικά τη μεταβλητότητα και το επίπεδο της </w:t>
      </w:r>
      <w:proofErr w:type="spellStart"/>
      <w:r>
        <w:t>VaR</w:t>
      </w:r>
      <w:proofErr w:type="spellEnd"/>
      <w:r w:rsidRPr="005B30C1">
        <w:rPr>
          <w:lang w:val="el-GR"/>
        </w:rPr>
        <w:t xml:space="preserve">, όμως δεν υποκαθιστά τον έλεγχο αξιοπιστίας του μοντέλου. Η </w:t>
      </w:r>
      <w:r>
        <w:t>Historical</w:t>
      </w:r>
      <w:r w:rsidRPr="005B30C1">
        <w:rPr>
          <w:lang w:val="el-GR"/>
        </w:rPr>
        <w:t xml:space="preserve"> </w:t>
      </w:r>
      <w:proofErr w:type="spellStart"/>
      <w:r>
        <w:t>VaR</w:t>
      </w:r>
      <w:proofErr w:type="spellEnd"/>
      <w:r w:rsidRPr="005B30C1">
        <w:rPr>
          <w:lang w:val="el-GR"/>
        </w:rPr>
        <w:t xml:space="preserve"> διατηρεί αποδεκτή συμπεριφορά πριν και μετά την αντιστάθμιση. Η </w:t>
      </w:r>
      <w:r>
        <w:t>EWMA</w:t>
      </w:r>
      <w:r w:rsidRPr="005B30C1">
        <w:rPr>
          <w:lang w:val="el-GR"/>
        </w:rPr>
        <w:t xml:space="preserve"> </w:t>
      </w:r>
      <w:proofErr w:type="spellStart"/>
      <w:r>
        <w:t>VaR</w:t>
      </w:r>
      <w:proofErr w:type="spellEnd"/>
      <w:r w:rsidRPr="005B30C1">
        <w:rPr>
          <w:lang w:val="el-GR"/>
        </w:rPr>
        <w:t xml:space="preserve">, αντίθετα, παραμένει στατιστικά ανεπαρκής ως προς την ανεπιφύλακτη κάλυψη, επειδή οι εξαιρέσεις είναι περισσότερες από τις θεωρητικά αναμενόμενες. Αυτό είναι σημαντικό εύρημα, διότι δείχνει ότι η μείωση του </w:t>
      </w:r>
      <w:r w:rsidRPr="005B30C1">
        <w:rPr>
          <w:lang w:val="el-GR"/>
        </w:rPr>
        <w:lastRenderedPageBreak/>
        <w:t xml:space="preserve">κινδύνου του χαρτοφυλακίου και η στατιστική εγκυρότητα ενός μοντέλου </w:t>
      </w:r>
      <w:proofErr w:type="spellStart"/>
      <w:r>
        <w:t>VaR</w:t>
      </w:r>
      <w:proofErr w:type="spellEnd"/>
      <w:r w:rsidRPr="005B30C1">
        <w:rPr>
          <w:lang w:val="el-GR"/>
        </w:rPr>
        <w:t xml:space="preserve"> είναι δύο διαφορετικά ζητήματα.</w:t>
      </w:r>
    </w:p>
    <w:p w14:paraId="0CB92C33" w14:textId="77777777" w:rsidR="00FC097F" w:rsidRPr="005B30C1" w:rsidRDefault="00FC097F" w:rsidP="00FC097F">
      <w:pPr>
        <w:pStyle w:val="af"/>
        <w:rPr>
          <w:lang w:val="el-GR"/>
        </w:rPr>
      </w:pPr>
      <w:r w:rsidRPr="005B30C1">
        <w:rPr>
          <w:lang w:val="el-GR"/>
        </w:rPr>
        <w:t xml:space="preserve">Η βελτίωση είναι εμφανής στις εκτιμήσεις </w:t>
      </w:r>
      <w:proofErr w:type="spellStart"/>
      <w:r>
        <w:t>VaR</w:t>
      </w:r>
      <w:proofErr w:type="spellEnd"/>
      <w:r w:rsidRPr="005B30C1">
        <w:rPr>
          <w:lang w:val="el-GR"/>
        </w:rPr>
        <w:t xml:space="preserve">. Η μέση ημερήσια </w:t>
      </w:r>
      <w:r>
        <w:t>EWMA</w:t>
      </w:r>
      <w:r w:rsidRPr="005B30C1">
        <w:rPr>
          <w:lang w:val="el-GR"/>
        </w:rPr>
        <w:t xml:space="preserve"> </w:t>
      </w:r>
      <w:proofErr w:type="spellStart"/>
      <w:r>
        <w:t>VaR</w:t>
      </w:r>
      <w:proofErr w:type="spellEnd"/>
      <w:r w:rsidRPr="005B30C1">
        <w:rPr>
          <w:lang w:val="el-GR"/>
        </w:rPr>
        <w:t xml:space="preserve"> μειώνεται από 2,19% στο αρχικό χαρτοφυλάκιο σε 1,23% μετά την αντιστάθμιση, δηλαδή μείωση περίπου 43,73%. Η μέση </w:t>
      </w:r>
      <w:r>
        <w:t>Historical</w:t>
      </w:r>
      <w:r w:rsidRPr="005B30C1">
        <w:rPr>
          <w:lang w:val="el-GR"/>
        </w:rPr>
        <w:t xml:space="preserve"> </w:t>
      </w:r>
      <w:proofErr w:type="spellStart"/>
      <w:r>
        <w:t>VaR</w:t>
      </w:r>
      <w:proofErr w:type="spellEnd"/>
      <w:r w:rsidRPr="005B30C1">
        <w:rPr>
          <w:lang w:val="el-GR"/>
        </w:rPr>
        <w:t xml:space="preserve"> μειώνεται από 2,76% σε 1,48%, δηλαδή μείωση περίπου 46,60%. Η μείωση αυτή είναι ουσιαστική όχι μόνο στατιστικά, αλλά και πρακτικά, διότι μεταφράζεται σε μικρότερη δυνητική ζημία για ίδια ενδεικτική αξία χαρτοφυλακίου.</w:t>
      </w:r>
    </w:p>
    <w:p w14:paraId="36E1508F" w14:textId="77777777" w:rsidR="00FC097F" w:rsidRPr="005B30C1" w:rsidRDefault="00FC097F" w:rsidP="00FC097F">
      <w:pPr>
        <w:pStyle w:val="af"/>
        <w:rPr>
          <w:lang w:val="el-GR"/>
        </w:rPr>
      </w:pPr>
      <w:r w:rsidRPr="005B30C1">
        <w:rPr>
          <w:lang w:val="el-GR"/>
        </w:rPr>
        <w:t xml:space="preserve">Στο επίπεδο του </w:t>
      </w:r>
      <w:proofErr w:type="spellStart"/>
      <w:r>
        <w:t>backtesting</w:t>
      </w:r>
      <w:proofErr w:type="spellEnd"/>
      <w:r w:rsidRPr="005B30C1">
        <w:rPr>
          <w:lang w:val="el-GR"/>
        </w:rPr>
        <w:t xml:space="preserve">, όμως, η εικόνα παραμένει διαφοροποιημένη. Μετά την αντιστάθμιση, η </w:t>
      </w:r>
      <w:r>
        <w:t>EWMA</w:t>
      </w:r>
      <w:r w:rsidRPr="005B30C1">
        <w:rPr>
          <w:lang w:val="el-GR"/>
        </w:rPr>
        <w:t xml:space="preserve"> </w:t>
      </w:r>
      <w:proofErr w:type="spellStart"/>
      <w:r>
        <w:t>VaR</w:t>
      </w:r>
      <w:proofErr w:type="spellEnd"/>
      <w:r w:rsidRPr="005B30C1">
        <w:rPr>
          <w:lang w:val="el-GR"/>
        </w:rPr>
        <w:t xml:space="preserve"> εμφανίζει 28 εξαιρέσεις, ποσοστό 2,23%, και </w:t>
      </w:r>
      <w:r>
        <w:t>p</w:t>
      </w:r>
      <w:r w:rsidRPr="005B30C1">
        <w:rPr>
          <w:lang w:val="el-GR"/>
        </w:rPr>
        <w:t>-</w:t>
      </w:r>
      <w:r>
        <w:t>value</w:t>
      </w:r>
      <w:r w:rsidRPr="005B30C1">
        <w:rPr>
          <w:lang w:val="el-GR"/>
        </w:rPr>
        <w:t xml:space="preserve"> </w:t>
      </w:r>
      <w:r>
        <w:t>Kupiec</w:t>
      </w:r>
      <w:r w:rsidRPr="005B30C1">
        <w:rPr>
          <w:lang w:val="el-GR"/>
        </w:rPr>
        <w:t xml:space="preserve"> 0,000168, άρα απορρίπτεται. Η </w:t>
      </w:r>
      <w:r>
        <w:t>Historical</w:t>
      </w:r>
      <w:r w:rsidRPr="005B30C1">
        <w:rPr>
          <w:lang w:val="el-GR"/>
        </w:rPr>
        <w:t xml:space="preserve"> </w:t>
      </w:r>
      <w:proofErr w:type="spellStart"/>
      <w:r>
        <w:t>VaR</w:t>
      </w:r>
      <w:proofErr w:type="spellEnd"/>
      <w:r w:rsidRPr="005B30C1">
        <w:rPr>
          <w:lang w:val="el-GR"/>
        </w:rPr>
        <w:t xml:space="preserve"> εμφανίζει 16 εξαιρέσεις, ποσοστό 1,27%, και </w:t>
      </w:r>
      <w:r>
        <w:t>p</w:t>
      </w:r>
      <w:r w:rsidRPr="005B30C1">
        <w:rPr>
          <w:lang w:val="el-GR"/>
        </w:rPr>
        <w:t>-</w:t>
      </w:r>
      <w:r>
        <w:t>value</w:t>
      </w:r>
      <w:r w:rsidRPr="005B30C1">
        <w:rPr>
          <w:lang w:val="el-GR"/>
        </w:rPr>
        <w:t xml:space="preserve"> 0,3524, άρα δεν απορρίπτεται. Η αντιστάθμιση βελτιώνει το επίπεδο κινδύνου, αλλά η τελική αξιολόγηση κάθε μοντέλου πρέπει να γίνεται με βάση τη δική του εμπειρική συμπεριφορά.</w:t>
      </w:r>
    </w:p>
    <w:p w14:paraId="7CDC41FB" w14:textId="77777777" w:rsidR="00FC097F" w:rsidRPr="005B30C1" w:rsidRDefault="00FC097F" w:rsidP="00FC097F">
      <w:pPr>
        <w:pStyle w:val="af"/>
        <w:rPr>
          <w:lang w:val="el-GR"/>
        </w:rPr>
      </w:pPr>
      <w:r w:rsidRPr="005B30C1">
        <w:rPr>
          <w:lang w:val="el-GR"/>
        </w:rPr>
        <w:t xml:space="preserve">Το αποτέλεσμα αυτό έχει ιδιαίτερη ερμηνευτική σημασία. Δεν δείχνει απλώς ότι το </w:t>
      </w:r>
      <w:r>
        <w:t>hedging</w:t>
      </w:r>
      <w:r w:rsidRPr="005B30C1">
        <w:rPr>
          <w:lang w:val="el-GR"/>
        </w:rPr>
        <w:t xml:space="preserve"> μείωσε τη μεταβλητότητα. Δείχνει ότι η μείωση της έκθεσης δεν αρκεί από μόνη της για να γίνει στατιστικά αποδεκτό ένα υπόδειγμα </w:t>
      </w:r>
      <w:proofErr w:type="spellStart"/>
      <w:r>
        <w:t>VaR</w:t>
      </w:r>
      <w:proofErr w:type="spellEnd"/>
      <w:r w:rsidRPr="005B30C1">
        <w:rPr>
          <w:lang w:val="el-GR"/>
        </w:rPr>
        <w:t xml:space="preserve">. Η </w:t>
      </w:r>
      <w:r>
        <w:t>Historical</w:t>
      </w:r>
      <w:r w:rsidRPr="005B30C1">
        <w:rPr>
          <w:lang w:val="el-GR"/>
        </w:rPr>
        <w:t xml:space="preserve"> </w:t>
      </w:r>
      <w:proofErr w:type="spellStart"/>
      <w:r>
        <w:t>VaR</w:t>
      </w:r>
      <w:proofErr w:type="spellEnd"/>
      <w:r w:rsidRPr="005B30C1">
        <w:rPr>
          <w:lang w:val="el-GR"/>
        </w:rPr>
        <w:t xml:space="preserve"> παραμένει συμβατή με την αναμενόμενη συχνότητα εξαιρέσεων, ενώ η </w:t>
      </w:r>
      <w:r>
        <w:t>EWMA</w:t>
      </w:r>
      <w:r w:rsidRPr="005B30C1">
        <w:rPr>
          <w:lang w:val="el-GR"/>
        </w:rPr>
        <w:t xml:space="preserve"> εξακολουθεί να δίνει περισσότερες παραβιάσεις από το 1%. Έτσι ενισχύεται η θέση ότι η μέτρηση κινδύνου, το </w:t>
      </w:r>
      <w:proofErr w:type="spellStart"/>
      <w:r>
        <w:t>backtesting</w:t>
      </w:r>
      <w:proofErr w:type="spellEnd"/>
      <w:r w:rsidRPr="005B30C1">
        <w:rPr>
          <w:lang w:val="el-GR"/>
        </w:rPr>
        <w:t xml:space="preserve"> και η αντιστάθμιση είναι διακριτές αλλά αλληλένδετες διαδικασίες.</w:t>
      </w:r>
    </w:p>
    <w:p w14:paraId="28DC37B1" w14:textId="77777777" w:rsidR="00FC097F" w:rsidRPr="005B30C1" w:rsidRDefault="00FC097F" w:rsidP="00321E2E">
      <w:pPr>
        <w:pStyle w:val="21"/>
        <w:rPr>
          <w:lang w:val="el-GR"/>
        </w:rPr>
      </w:pPr>
      <w:bookmarkStart w:id="67" w:name="_Toc232171094"/>
      <w:bookmarkStart w:id="68" w:name="συζήτηση-αποτελεσμάτων"/>
      <w:bookmarkEnd w:id="66"/>
      <w:r w:rsidRPr="005B30C1">
        <w:rPr>
          <w:rFonts w:eastAsia="Times New Roman"/>
          <w:lang w:val="el-GR"/>
        </w:rPr>
        <w:t>4.6 Συζήτηση αποτελεσμάτων</w:t>
      </w:r>
      <w:bookmarkEnd w:id="67"/>
    </w:p>
    <w:p w14:paraId="23513E5F" w14:textId="77777777" w:rsidR="00FC097F" w:rsidRPr="005B30C1" w:rsidRDefault="00FC097F" w:rsidP="00FC097F">
      <w:pPr>
        <w:ind w:firstLine="357"/>
        <w:rPr>
          <w:lang w:val="el-GR"/>
        </w:rPr>
      </w:pPr>
      <w:r w:rsidRPr="005B30C1">
        <w:rPr>
          <w:lang w:val="el-GR"/>
        </w:rPr>
        <w:t xml:space="preserve">Τα εμπειρικά αποτελέσματα οδηγούν σε τρία βασικά συμπεράσματα. Πρώτον, το αρχικό χαρτοφυλάκιο εμφανίζει σημαντικό κίνδυνο αγοράς, ο οποίος πρέπει να αξιολογείται όχι μόνο με βάση το μέγεθος της </w:t>
      </w:r>
      <w:proofErr w:type="spellStart"/>
      <w:r>
        <w:t>VaR</w:t>
      </w:r>
      <w:proofErr w:type="spellEnd"/>
      <w:r w:rsidRPr="005B30C1">
        <w:rPr>
          <w:lang w:val="el-GR"/>
        </w:rPr>
        <w:t xml:space="preserve"> αλλά και με βάση τη στατιστική συμπεριφορά της. Η </w:t>
      </w:r>
      <w:r>
        <w:t>EWMA</w:t>
      </w:r>
      <w:r w:rsidRPr="005B30C1">
        <w:rPr>
          <w:lang w:val="el-GR"/>
        </w:rPr>
        <w:t xml:space="preserve"> </w:t>
      </w:r>
      <w:proofErr w:type="spellStart"/>
      <w:r>
        <w:t>VaR</w:t>
      </w:r>
      <w:proofErr w:type="spellEnd"/>
      <w:r w:rsidRPr="005B30C1">
        <w:rPr>
          <w:lang w:val="el-GR"/>
        </w:rPr>
        <w:t xml:space="preserve"> απορρίπτεται στο αρχικό χαρτοφυλάκιο, ενώ η </w:t>
      </w:r>
      <w:r>
        <w:t>Historical</w:t>
      </w:r>
      <w:r w:rsidRPr="005B30C1">
        <w:rPr>
          <w:lang w:val="el-GR"/>
        </w:rPr>
        <w:t xml:space="preserve"> </w:t>
      </w:r>
      <w:proofErr w:type="spellStart"/>
      <w:r>
        <w:t>VaR</w:t>
      </w:r>
      <w:proofErr w:type="spellEnd"/>
      <w:r w:rsidRPr="005B30C1">
        <w:rPr>
          <w:lang w:val="el-GR"/>
        </w:rPr>
        <w:t xml:space="preserve"> δεν απορρίπτεται. Αυτό επιβεβαιώνει ότι η απλή μέτρηση </w:t>
      </w:r>
      <w:proofErr w:type="spellStart"/>
      <w:r>
        <w:t>VaR</w:t>
      </w:r>
      <w:proofErr w:type="spellEnd"/>
      <w:r w:rsidRPr="005B30C1">
        <w:rPr>
          <w:lang w:val="el-GR"/>
        </w:rPr>
        <w:t xml:space="preserve"> πρέπει να συνοδεύεται πάντα από </w:t>
      </w:r>
      <w:proofErr w:type="spellStart"/>
      <w:r>
        <w:t>backtesting</w:t>
      </w:r>
      <w:proofErr w:type="spellEnd"/>
      <w:r w:rsidRPr="005B30C1">
        <w:rPr>
          <w:lang w:val="el-GR"/>
        </w:rPr>
        <w:t>.</w:t>
      </w:r>
    </w:p>
    <w:p w14:paraId="7ED27768" w14:textId="77777777" w:rsidR="00FC097F" w:rsidRPr="005B30C1" w:rsidRDefault="00FC097F" w:rsidP="00FC097F">
      <w:pPr>
        <w:pStyle w:val="af"/>
        <w:rPr>
          <w:lang w:val="el-GR"/>
        </w:rPr>
      </w:pPr>
      <w:r w:rsidRPr="00FC097F">
        <w:rPr>
          <w:lang w:val="el-GR"/>
        </w:rPr>
        <w:t xml:space="preserve">Δεύτερον, η σύγκριση των δύο μεθόδων δείχνει ότι καμία μέθοδος δεν είναι γενικά ανώτερη σε κάθε περίπτωση. Η </w:t>
      </w:r>
      <w:r>
        <w:t>EWMA</w:t>
      </w:r>
      <w:r w:rsidRPr="00FC097F">
        <w:rPr>
          <w:lang w:val="el-GR"/>
        </w:rPr>
        <w:t xml:space="preserve"> προσαρμόζει τη μεταβλητότητα δυναμικά και, όπως αναλύθηκε στο Κεφάλαιο 2, είναι χρήσιμη για την αποτύπωση του </w:t>
      </w:r>
      <w:r>
        <w:t>volatility</w:t>
      </w:r>
      <w:r w:rsidRPr="00FC097F">
        <w:rPr>
          <w:lang w:val="el-GR"/>
        </w:rPr>
        <w:t xml:space="preserve"> </w:t>
      </w:r>
      <w:r>
        <w:t>clustering</w:t>
      </w:r>
      <w:r w:rsidRPr="00FC097F">
        <w:rPr>
          <w:lang w:val="el-GR"/>
        </w:rPr>
        <w:t>. Παρόλα αυτά, στο συγκεκριμένο δείγμα δεν κάλυψε επαρκώς τις ακραίες αρνητικές αποδόσεις και εμφάνισε πολύ περισσότερες εξαιρέσεις από όσες αναμένονται σε επίπεδο εμπιστοσύνης 99%.</w:t>
      </w:r>
    </w:p>
    <w:p w14:paraId="6B3BDA1F" w14:textId="77777777" w:rsidR="00FC097F" w:rsidRPr="00FC097F" w:rsidRDefault="00FC097F" w:rsidP="00FC097F">
      <w:pPr>
        <w:pStyle w:val="af"/>
        <w:rPr>
          <w:lang w:val="el-GR"/>
        </w:rPr>
      </w:pPr>
      <w:r w:rsidRPr="00FC097F">
        <w:rPr>
          <w:lang w:val="el-GR"/>
        </w:rPr>
        <w:lastRenderedPageBreak/>
        <w:t xml:space="preserve">Η απόρριψη του μοντέλου </w:t>
      </w:r>
      <w:r>
        <w:t>EWMA</w:t>
      </w:r>
      <w:r w:rsidRPr="00FC097F">
        <w:rPr>
          <w:lang w:val="el-GR"/>
        </w:rPr>
        <w:t xml:space="preserve"> συνδέεται κυρίως με την παραμετρική υπόθεση που χρησιμοποιείται για τη μετατροπή της εκτιμώμενης μεταβλητότητας σε </w:t>
      </w:r>
      <w:proofErr w:type="spellStart"/>
      <w:r>
        <w:t>VaR</w:t>
      </w:r>
      <w:proofErr w:type="spellEnd"/>
      <w:r w:rsidRPr="00FC097F">
        <w:rPr>
          <w:lang w:val="el-GR"/>
        </w:rPr>
        <w:t xml:space="preserve">. Παρότι η </w:t>
      </w:r>
      <w:r>
        <w:t>EWMA</w:t>
      </w:r>
      <w:r w:rsidRPr="00FC097F">
        <w:rPr>
          <w:lang w:val="el-GR"/>
        </w:rPr>
        <w:t xml:space="preserve"> ενημερώνει τη διακύμανση με μεγαλύτερο βάρος στις πρόσφατες παρατηρήσεις, η τελική εκτίμηση </w:t>
      </w:r>
      <w:proofErr w:type="spellStart"/>
      <w:r>
        <w:t>VaR</w:t>
      </w:r>
      <w:proofErr w:type="spellEnd"/>
      <w:r w:rsidRPr="00FC097F">
        <w:rPr>
          <w:lang w:val="el-GR"/>
        </w:rPr>
        <w:t xml:space="preserve"> εξακολουθεί να βασίζεται στην υπόθεση κανονικής κατανομής των αποδόσεων. Οι πραγματικές χρηματοοικονομικές αποδόσεις, όμως, συχνά εμφανίζουν βαριές ουρές, δηλαδή μεγαλύτερη πιθανότητα ακραίων ζημιών σε σχέση με την κανονική κατανομή. Έτσι, η </w:t>
      </w:r>
      <w:r>
        <w:t>EWMA</w:t>
      </w:r>
      <w:r w:rsidRPr="00FC097F">
        <w:rPr>
          <w:lang w:val="el-GR"/>
        </w:rPr>
        <w:t xml:space="preserve"> μπορεί να αντιδρά στη μεταβολή της μεταβλητότητας, αλλά να υποεκτιμά τη συχνότητα των πολύ αρνητικών παρατηρήσεων. Αυτό εξηγεί γιατί, παρά τη μείωση του κινδύνου μετά την αντιστάθμιση, το </w:t>
      </w:r>
      <w:r>
        <w:t>EWMA</w:t>
      </w:r>
      <w:r w:rsidRPr="00FC097F">
        <w:rPr>
          <w:lang w:val="el-GR"/>
        </w:rPr>
        <w:t xml:space="preserve"> </w:t>
      </w:r>
      <w:proofErr w:type="spellStart"/>
      <w:r>
        <w:t>VaR</w:t>
      </w:r>
      <w:proofErr w:type="spellEnd"/>
      <w:r w:rsidRPr="00FC097F">
        <w:rPr>
          <w:lang w:val="el-GR"/>
        </w:rPr>
        <w:t xml:space="preserve"> εξακολουθεί να απορρίπτεται από τον έλεγχο </w:t>
      </w:r>
      <w:r>
        <w:t>Kupiec</w:t>
      </w:r>
      <w:r w:rsidRPr="00FC097F">
        <w:rPr>
          <w:lang w:val="el-GR"/>
        </w:rPr>
        <w:t>.</w:t>
      </w:r>
    </w:p>
    <w:p w14:paraId="722BD583" w14:textId="77777777" w:rsidR="00FC097F" w:rsidRPr="005B30C1" w:rsidRDefault="00FC097F" w:rsidP="00FC097F">
      <w:pPr>
        <w:pStyle w:val="af"/>
        <w:rPr>
          <w:lang w:val="el-GR"/>
        </w:rPr>
      </w:pPr>
      <w:r w:rsidRPr="005B30C1">
        <w:rPr>
          <w:lang w:val="el-GR"/>
        </w:rPr>
        <w:t xml:space="preserve">Τρίτον, η αντιστάθμιση με </w:t>
      </w:r>
      <w:r>
        <w:t>futures</w:t>
      </w:r>
      <w:r w:rsidRPr="005B30C1">
        <w:rPr>
          <w:lang w:val="el-GR"/>
        </w:rPr>
        <w:t xml:space="preserve"> έχει ουσιαστική επίδραση. Μειώνει τη μεταβλητότητα, περιορίζει τις ακραίες ζημίες και μειώνει τις εκτιμήσεις </w:t>
      </w:r>
      <w:proofErr w:type="spellStart"/>
      <w:r>
        <w:t>VaR</w:t>
      </w:r>
      <w:proofErr w:type="spellEnd"/>
      <w:r w:rsidRPr="005B30C1">
        <w:rPr>
          <w:lang w:val="el-GR"/>
        </w:rPr>
        <w:t xml:space="preserve">. Ωστόσο, δεν εξασφαλίζει αυτομάτως ότι κάθε μέθοδος </w:t>
      </w:r>
      <w:proofErr w:type="spellStart"/>
      <w:r>
        <w:t>VaR</w:t>
      </w:r>
      <w:proofErr w:type="spellEnd"/>
      <w:r w:rsidRPr="005B30C1">
        <w:rPr>
          <w:lang w:val="el-GR"/>
        </w:rPr>
        <w:t xml:space="preserve"> θα περάσει το </w:t>
      </w:r>
      <w:proofErr w:type="spellStart"/>
      <w:r>
        <w:t>backtesting</w:t>
      </w:r>
      <w:proofErr w:type="spellEnd"/>
      <w:r w:rsidRPr="005B30C1">
        <w:rPr>
          <w:lang w:val="el-GR"/>
        </w:rPr>
        <w:t xml:space="preserve">. Το εύρημα αυτό συνδέει τη μέτρηση κινδύνου με την πρακτική διαχείριση χαρτοφυλακίου: η πληροφορία του </w:t>
      </w:r>
      <w:r>
        <w:t>risk</w:t>
      </w:r>
      <w:r w:rsidRPr="005B30C1">
        <w:rPr>
          <w:lang w:val="el-GR"/>
        </w:rPr>
        <w:t xml:space="preserve"> </w:t>
      </w:r>
      <w:r>
        <w:t>manager</w:t>
      </w:r>
      <w:r w:rsidRPr="005B30C1">
        <w:rPr>
          <w:lang w:val="el-GR"/>
        </w:rPr>
        <w:t xml:space="preserve"> μπορεί να χρησιμοποιηθεί από τον </w:t>
      </w:r>
      <w:r>
        <w:t>portfolio</w:t>
      </w:r>
      <w:r w:rsidRPr="005B30C1">
        <w:rPr>
          <w:lang w:val="el-GR"/>
        </w:rPr>
        <w:t xml:space="preserve"> </w:t>
      </w:r>
      <w:r>
        <w:t>manager</w:t>
      </w:r>
      <w:r w:rsidRPr="005B30C1">
        <w:rPr>
          <w:lang w:val="el-GR"/>
        </w:rPr>
        <w:t xml:space="preserve"> για τον σχεδιασμό στρατηγικής μείωσης κινδύνου, αλλά η αξιολόγηση των μοντέλων παραμένει ανεξάρτητη διαδικασία ελέγχου.</w:t>
      </w:r>
    </w:p>
    <w:p w14:paraId="16AB0558" w14:textId="77777777" w:rsidR="00FC097F" w:rsidRPr="005B30C1" w:rsidRDefault="00FC097F" w:rsidP="00FC097F">
      <w:pPr>
        <w:pStyle w:val="af"/>
        <w:rPr>
          <w:lang w:val="el-GR"/>
        </w:rPr>
      </w:pPr>
      <w:r w:rsidRPr="005B30C1">
        <w:rPr>
          <w:lang w:val="el-GR"/>
        </w:rPr>
        <w:t xml:space="preserve">Από διοικητική σκοπιά, η μετάβαση από το αρχικό στο αντισταθμισμένο χαρτοφυλάκιο δείχνει πώς ένα αποτέλεσμα </w:t>
      </w:r>
      <w:r>
        <w:t>risk</w:t>
      </w:r>
      <w:r w:rsidRPr="005B30C1">
        <w:rPr>
          <w:lang w:val="el-GR"/>
        </w:rPr>
        <w:t xml:space="preserve"> </w:t>
      </w:r>
      <w:r>
        <w:t>management</w:t>
      </w:r>
      <w:r w:rsidRPr="005B30C1">
        <w:rPr>
          <w:lang w:val="el-GR"/>
        </w:rPr>
        <w:t xml:space="preserve"> μπορεί να χρησιμοποιηθεί στη λήψη αποφάσεων. Αν ο </w:t>
      </w:r>
      <w:r>
        <w:t>risk</w:t>
      </w:r>
      <w:r w:rsidRPr="005B30C1">
        <w:rPr>
          <w:lang w:val="el-GR"/>
        </w:rPr>
        <w:t xml:space="preserve"> </w:t>
      </w:r>
      <w:r>
        <w:t>manager</w:t>
      </w:r>
      <w:r w:rsidRPr="005B30C1">
        <w:rPr>
          <w:lang w:val="el-GR"/>
        </w:rPr>
        <w:t xml:space="preserve"> διαπιστώσει ότι το αρχικό χαρτοφυλάκιο παρουσιάζει υπερβολικές παραβιάσεις </w:t>
      </w:r>
      <w:proofErr w:type="spellStart"/>
      <w:r>
        <w:t>VaR</w:t>
      </w:r>
      <w:proofErr w:type="spellEnd"/>
      <w:r w:rsidRPr="005B30C1">
        <w:rPr>
          <w:lang w:val="el-GR"/>
        </w:rPr>
        <w:t xml:space="preserve">, η πληροφορία αυτή πρέπει να μεταφερθεί στη διοίκηση ή στον </w:t>
      </w:r>
      <w:r>
        <w:t>portfolio</w:t>
      </w:r>
      <w:r w:rsidRPr="005B30C1">
        <w:rPr>
          <w:lang w:val="el-GR"/>
        </w:rPr>
        <w:t xml:space="preserve"> </w:t>
      </w:r>
      <w:r>
        <w:t>manager</w:t>
      </w:r>
      <w:r w:rsidRPr="005B30C1">
        <w:rPr>
          <w:lang w:val="el-GR"/>
        </w:rPr>
        <w:t xml:space="preserve">. Ο </w:t>
      </w:r>
      <w:r>
        <w:t>portfolio</w:t>
      </w:r>
      <w:r w:rsidRPr="005B30C1">
        <w:rPr>
          <w:lang w:val="el-GR"/>
        </w:rPr>
        <w:t xml:space="preserve"> </w:t>
      </w:r>
      <w:r>
        <w:t>manager</w:t>
      </w:r>
      <w:r w:rsidRPr="005B30C1">
        <w:rPr>
          <w:lang w:val="el-GR"/>
        </w:rPr>
        <w:t xml:space="preserve"> μπορεί στη συνέχεια να αποφασίσει αν θα μειώσει θέσεις, αν θα διαφοροποιήσει περισσότερο το χαρτοφυλάκιο ή αν θα χρησιμοποιήσει παράγωγα για αντιστάθμιση. Η εργασία εξετάζει την τρίτη επιλογή.</w:t>
      </w:r>
    </w:p>
    <w:p w14:paraId="39F8B319" w14:textId="77777777" w:rsidR="00FC097F" w:rsidRPr="005B30C1" w:rsidRDefault="00FC097F" w:rsidP="00FC097F">
      <w:pPr>
        <w:pStyle w:val="af"/>
        <w:rPr>
          <w:lang w:val="el-GR"/>
        </w:rPr>
      </w:pPr>
      <w:r w:rsidRPr="005B30C1">
        <w:rPr>
          <w:lang w:val="el-GR"/>
        </w:rPr>
        <w:t xml:space="preserve">Η επιτυχία της αντιστάθμισης πρέπει όμως να αξιολογείται με ρεαλισμό. Ένα </w:t>
      </w:r>
      <w:r>
        <w:t>hedge</w:t>
      </w:r>
      <w:r w:rsidRPr="005B30C1">
        <w:rPr>
          <w:lang w:val="el-GR"/>
        </w:rPr>
        <w:t xml:space="preserve"> που μειώνει τον κίνδυνο μπορεί ταυτόχρονα να περιορίζει και τα πιθανά κέρδη σε ανοδικές αγορές. Επομένως, η απόφαση </w:t>
      </w:r>
      <w:r>
        <w:t>hedging</w:t>
      </w:r>
      <w:r w:rsidRPr="005B30C1">
        <w:rPr>
          <w:lang w:val="el-GR"/>
        </w:rPr>
        <w:t xml:space="preserve"> δεν είναι μηχανική. Απαιτεί εκτίμηση του κόστους ευκαιρίας, των απαιτήσεων περιθωρίου, της ρευστότητας του </w:t>
      </w:r>
      <w:r>
        <w:t>futures</w:t>
      </w:r>
      <w:r w:rsidRPr="005B30C1">
        <w:rPr>
          <w:lang w:val="el-GR"/>
        </w:rPr>
        <w:t>, της φορολογικής μεταχείρισης και της πολιτικής κινδύνου του οργανισμού. Στην παρούσα εργασία αυτά τα στοιχεία δεν ενσωματώνονται αριθμητικά, αλλά αναγνωρίζονται ως πρακτικοί περιορισμοί.</w:t>
      </w:r>
    </w:p>
    <w:p w14:paraId="14FB8D6B" w14:textId="77777777" w:rsidR="00FC097F" w:rsidRPr="005B30C1" w:rsidRDefault="00FC097F" w:rsidP="00FC097F">
      <w:pPr>
        <w:pStyle w:val="af"/>
        <w:rPr>
          <w:lang w:val="el-GR"/>
        </w:rPr>
      </w:pPr>
      <w:r w:rsidRPr="005B30C1">
        <w:rPr>
          <w:lang w:val="el-GR"/>
        </w:rPr>
        <w:t xml:space="preserve">Ένα ακόμη σημαντικό σημείο είναι ότι η μείωση της </w:t>
      </w:r>
      <w:proofErr w:type="spellStart"/>
      <w:r>
        <w:t>VaR</w:t>
      </w:r>
      <w:proofErr w:type="spellEnd"/>
      <w:r w:rsidRPr="005B30C1">
        <w:rPr>
          <w:lang w:val="el-GR"/>
        </w:rPr>
        <w:t xml:space="preserve"> μετά το </w:t>
      </w:r>
      <w:r>
        <w:t>hedge</w:t>
      </w:r>
      <w:r w:rsidRPr="005B30C1">
        <w:rPr>
          <w:lang w:val="el-GR"/>
        </w:rPr>
        <w:t xml:space="preserve"> δεν σημαίνει ότι το μοντέλο έγινε θεωρητικά τέλειο. Σημαίνει ότι το χαρτοφυλάκιο απέκτησε χαμηλότερη έκθεση στον συστηματικό κίνδυνο της αγοράς. Για μια πλήρη επαγγελματική αξιολόγηση θα μπορούσε </w:t>
      </w:r>
      <w:r w:rsidRPr="005B30C1">
        <w:rPr>
          <w:lang w:val="el-GR"/>
        </w:rPr>
        <w:lastRenderedPageBreak/>
        <w:t xml:space="preserve">να προστεθεί έλεγχος ανεξαρτησίας των παραβιάσεων, </w:t>
      </w:r>
      <w:r>
        <w:t>stress</w:t>
      </w:r>
      <w:r w:rsidRPr="005B30C1">
        <w:rPr>
          <w:lang w:val="el-GR"/>
        </w:rPr>
        <w:t xml:space="preserve"> </w:t>
      </w:r>
      <w:r>
        <w:t>testing</w:t>
      </w:r>
      <w:r w:rsidRPr="005B30C1">
        <w:rPr>
          <w:lang w:val="el-GR"/>
        </w:rPr>
        <w:t xml:space="preserve"> με ιστορικά σενάρια και σύγκριση με </w:t>
      </w:r>
      <w:r>
        <w:t>Expected</w:t>
      </w:r>
      <w:r w:rsidRPr="005B30C1">
        <w:rPr>
          <w:lang w:val="el-GR"/>
        </w:rPr>
        <w:t xml:space="preserve"> </w:t>
      </w:r>
      <w:r>
        <w:t>Shortfall</w:t>
      </w:r>
      <w:r w:rsidRPr="005B30C1">
        <w:rPr>
          <w:lang w:val="el-GR"/>
        </w:rPr>
        <w:t xml:space="preserve">. Παρόλα αυτά, για τους σκοπούς της παρούσας διπλωματικής, τα αποτελέσματα είναι επαρκώς καθαρά: η αντιστάθμιση μειώνει τον κίνδυνο, αλλά η τελική αξιοπιστία κάθε </w:t>
      </w:r>
      <w:proofErr w:type="spellStart"/>
      <w:r>
        <w:t>VaR</w:t>
      </w:r>
      <w:proofErr w:type="spellEnd"/>
      <w:r w:rsidRPr="005B30C1">
        <w:rPr>
          <w:lang w:val="el-GR"/>
        </w:rPr>
        <w:t xml:space="preserve"> μοντέλου πρέπει να κρίνεται εμπειρικά.</w:t>
      </w:r>
    </w:p>
    <w:p w14:paraId="116CF25A" w14:textId="77777777" w:rsidR="00FC097F" w:rsidRPr="005B30C1" w:rsidRDefault="00FC097F" w:rsidP="00321E2E">
      <w:pPr>
        <w:pStyle w:val="21"/>
        <w:rPr>
          <w:lang w:val="el-GR"/>
        </w:rPr>
      </w:pPr>
      <w:bookmarkStart w:id="69" w:name="_Toc232171095"/>
      <w:bookmarkStart w:id="70" w:name="Xcf3eb1f6ba82fc9b49c324f5d2ecfdcdfe8cf52"/>
      <w:bookmarkEnd w:id="68"/>
      <w:r w:rsidRPr="005B30C1">
        <w:rPr>
          <w:rFonts w:eastAsia="Times New Roman"/>
          <w:lang w:val="el-GR"/>
        </w:rPr>
        <w:t>4.7 Συνολική αξιολόγηση των εμπειρικών ευρημάτων</w:t>
      </w:r>
      <w:bookmarkEnd w:id="69"/>
    </w:p>
    <w:p w14:paraId="1B9A2E2E" w14:textId="77777777" w:rsidR="00FC097F" w:rsidRPr="005B30C1" w:rsidRDefault="00FC097F" w:rsidP="00FC097F">
      <w:pPr>
        <w:ind w:firstLine="357"/>
        <w:rPr>
          <w:lang w:val="el-GR"/>
        </w:rPr>
      </w:pPr>
      <w:r w:rsidRPr="005B30C1">
        <w:rPr>
          <w:lang w:val="el-GR"/>
        </w:rPr>
        <w:t xml:space="preserve">Η συνολική αξιολόγηση των αποτελεσμάτων οδηγεί σε τρία συμπεράσματα. Πρώτον, οι μέθοδοι </w:t>
      </w:r>
      <w:proofErr w:type="spellStart"/>
      <w:r>
        <w:t>VaR</w:t>
      </w:r>
      <w:proofErr w:type="spellEnd"/>
      <w:r w:rsidRPr="005B30C1">
        <w:rPr>
          <w:lang w:val="el-GR"/>
        </w:rPr>
        <w:t xml:space="preserve"> είναι χρήσιμες ως εργαλεία μέτρησης, αλλά τα αποτελέσματά τους δεν πρέπει να γίνονται αποδεκτά χωρίς έλεγχο. Δεύτερον, η αντιστάθμιση με </w:t>
      </w:r>
      <w:r>
        <w:t>futures</w:t>
      </w:r>
      <w:r w:rsidRPr="005B30C1">
        <w:rPr>
          <w:lang w:val="el-GR"/>
        </w:rPr>
        <w:t xml:space="preserve"> μπορεί να μειώσει σημαντικά τον κίνδυνο αγοράς όταν το χαρτοφυλάκιο έχει ουσιαστική έκθεση στον ευρύτερο δείκτη. Η μείωση της μεταβλητότητας και της </w:t>
      </w:r>
      <w:proofErr w:type="spellStart"/>
      <w:r>
        <w:t>VaR</w:t>
      </w:r>
      <w:proofErr w:type="spellEnd"/>
      <w:r w:rsidRPr="005B30C1">
        <w:rPr>
          <w:lang w:val="el-GR"/>
        </w:rPr>
        <w:t xml:space="preserve"> είναι μεγάλη και συνεπής με τον θεωρητικό ρόλο του </w:t>
      </w:r>
      <w:r>
        <w:t>hedge</w:t>
      </w:r>
      <w:r w:rsidRPr="005B30C1">
        <w:rPr>
          <w:lang w:val="el-GR"/>
        </w:rPr>
        <w:t>.</w:t>
      </w:r>
    </w:p>
    <w:p w14:paraId="04EA5921" w14:textId="77777777" w:rsidR="00FC097F" w:rsidRPr="005B30C1" w:rsidRDefault="00FC097F" w:rsidP="00FC097F">
      <w:pPr>
        <w:pStyle w:val="af"/>
        <w:rPr>
          <w:lang w:val="el-GR"/>
        </w:rPr>
      </w:pPr>
      <w:r w:rsidRPr="005B30C1">
        <w:rPr>
          <w:lang w:val="el-GR"/>
        </w:rPr>
        <w:t xml:space="preserve">Τρίτον, η ανάλυση αναδεικνύει την ανάγκη συνδυασμού ποσοτικών αποτελεσμάτων και επαγγελματικής κρίσης. Ένας αριθμός </w:t>
      </w:r>
      <w:proofErr w:type="spellStart"/>
      <w:r>
        <w:t>VaR</w:t>
      </w:r>
      <w:proofErr w:type="spellEnd"/>
      <w:r w:rsidRPr="005B30C1">
        <w:rPr>
          <w:lang w:val="el-GR"/>
        </w:rPr>
        <w:t xml:space="preserve">, ένα </w:t>
      </w:r>
      <w:r>
        <w:t>p</w:t>
      </w:r>
      <w:r w:rsidRPr="005B30C1">
        <w:rPr>
          <w:lang w:val="el-GR"/>
        </w:rPr>
        <w:t>-</w:t>
      </w:r>
      <w:r>
        <w:t>value</w:t>
      </w:r>
      <w:r w:rsidRPr="005B30C1">
        <w:rPr>
          <w:lang w:val="el-GR"/>
        </w:rPr>
        <w:t xml:space="preserve"> ή ένας λόγος αντιστάθμισης δεν πρέπει να ερμηνεύονται απομονωμένα. Πρέπει να εντάσσονται στο πλαίσιο του χαρτοφυλακίου, της περιόδου αγοράς, των υποθέσεων του μοντέλου και των πρακτικών περιορισμών. Αυτό ακριβώς είναι και το βασικό μήνυμα της εργασίας: η διαχείριση κινδύνου δεν είναι μόνο μαθηματική άσκηση, αλλά διαδικασία λήψης αποφάσεων με ποσοτική τεκμηρίωση.</w:t>
      </w:r>
    </w:p>
    <w:p w14:paraId="2D6A063B" w14:textId="77777777" w:rsidR="00FC097F" w:rsidRPr="005B30C1" w:rsidRDefault="00FC097F" w:rsidP="00321E2E">
      <w:pPr>
        <w:pStyle w:val="21"/>
        <w:rPr>
          <w:lang w:val="el-GR"/>
        </w:rPr>
      </w:pPr>
      <w:bookmarkStart w:id="71" w:name="_Toc232171096"/>
      <w:bookmarkStart w:id="72" w:name="κεφάλαιο-5-συμπεράσματα"/>
      <w:bookmarkEnd w:id="56"/>
      <w:bookmarkEnd w:id="70"/>
      <w:r w:rsidRPr="005B30C1">
        <w:rPr>
          <w:rFonts w:eastAsia="Times New Roman"/>
          <w:lang w:val="el-GR"/>
        </w:rPr>
        <w:t>4.8 Συμπεριφορά του κινδύνου σε περιόδους αυξημένης μεταβλητότητας</w:t>
      </w:r>
      <w:bookmarkEnd w:id="71"/>
    </w:p>
    <w:p w14:paraId="577DC499" w14:textId="77777777" w:rsidR="00FC097F" w:rsidRPr="005B30C1" w:rsidRDefault="00FC097F" w:rsidP="00FC097F">
      <w:pPr>
        <w:pStyle w:val="af"/>
        <w:rPr>
          <w:lang w:val="el-GR"/>
        </w:rPr>
      </w:pPr>
      <w:r w:rsidRPr="005B30C1">
        <w:rPr>
          <w:lang w:val="el-GR"/>
        </w:rPr>
        <w:t xml:space="preserve">Η εξέταση των αποτελεσμάτων κατά τη διάρκεια του δείγματος δείχνει ότι ο κίνδυνος δεν είναι σταθερός στον χρόνο. Το 2020 επηρεάζει έντονα τις αρχικές ιστορικές εκτιμήσεις </w:t>
      </w:r>
      <w:proofErr w:type="spellStart"/>
      <w:r>
        <w:t>VaR</w:t>
      </w:r>
      <w:proofErr w:type="spellEnd"/>
      <w:r w:rsidRPr="005B30C1">
        <w:rPr>
          <w:lang w:val="el-GR"/>
        </w:rPr>
        <w:t xml:space="preserve">, επειδή το κυλιόμενο παράθυρο των 250 ημερών εξακολουθεί να περιέχει τις έντονες διακυμάνσεις της πανδημίας </w:t>
      </w:r>
      <w:r>
        <w:t>COVID</w:t>
      </w:r>
      <w:r w:rsidRPr="005B30C1">
        <w:rPr>
          <w:lang w:val="el-GR"/>
        </w:rPr>
        <w:t xml:space="preserve">-19. Αυτό εξηγεί γιατί η </w:t>
      </w:r>
      <w:r>
        <w:t>Historical</w:t>
      </w:r>
      <w:r w:rsidRPr="005B30C1">
        <w:rPr>
          <w:lang w:val="el-GR"/>
        </w:rPr>
        <w:t xml:space="preserve"> </w:t>
      </w:r>
      <w:proofErr w:type="spellStart"/>
      <w:r>
        <w:t>VaR</w:t>
      </w:r>
      <w:proofErr w:type="spellEnd"/>
      <w:r w:rsidRPr="005B30C1">
        <w:rPr>
          <w:lang w:val="el-GR"/>
        </w:rPr>
        <w:t xml:space="preserve"> εμφανίζει υψηλή μέγιστη τιμή στην αρχή του δείγματος </w:t>
      </w:r>
      <w:proofErr w:type="spellStart"/>
      <w:r>
        <w:t>backtesting</w:t>
      </w:r>
      <w:proofErr w:type="spellEnd"/>
      <w:r w:rsidRPr="005B30C1">
        <w:rPr>
          <w:lang w:val="el-GR"/>
        </w:rPr>
        <w:t xml:space="preserve">. Αντίθετα, η </w:t>
      </w:r>
      <w:r>
        <w:t>EWMA</w:t>
      </w:r>
      <w:r w:rsidRPr="005B30C1">
        <w:rPr>
          <w:lang w:val="el-GR"/>
        </w:rPr>
        <w:t xml:space="preserve"> </w:t>
      </w:r>
      <w:proofErr w:type="spellStart"/>
      <w:r>
        <w:t>VaR</w:t>
      </w:r>
      <w:proofErr w:type="spellEnd"/>
      <w:r w:rsidRPr="005B30C1">
        <w:rPr>
          <w:lang w:val="el-GR"/>
        </w:rPr>
        <w:t xml:space="preserve"> προσαρμόζεται περισσότερο στη βραχυχρόνια μεταβλητότητα και επηρεάζεται εντονότερα από πρόσφατες κινήσεις της αγοράς.</w:t>
      </w:r>
    </w:p>
    <w:p w14:paraId="0EEC0025" w14:textId="77777777" w:rsidR="00FC097F" w:rsidRPr="005B30C1" w:rsidRDefault="00FC097F" w:rsidP="00FC097F">
      <w:pPr>
        <w:pStyle w:val="af"/>
        <w:rPr>
          <w:lang w:val="el-GR"/>
        </w:rPr>
      </w:pPr>
      <w:r w:rsidRPr="005B30C1">
        <w:rPr>
          <w:lang w:val="el-GR"/>
        </w:rPr>
        <w:t xml:space="preserve">Οι περισσότερες εξαιρέσεις δεν πρέπει να διαβάζονται ως τυχαία μεμονωμένα περιστατικά. Συγκεντρώνονται κυρίως σε φάσεις όπου η αγορά βρίσκεται υπό πίεση, όπως περίοδοι απότομης μεταβολής </w:t>
      </w:r>
      <w:proofErr w:type="spellStart"/>
      <w:r w:rsidRPr="005B30C1">
        <w:rPr>
          <w:lang w:val="el-GR"/>
        </w:rPr>
        <w:t>επιτοκιακών</w:t>
      </w:r>
      <w:proofErr w:type="spellEnd"/>
      <w:r w:rsidRPr="005B30C1">
        <w:rPr>
          <w:lang w:val="el-GR"/>
        </w:rPr>
        <w:t xml:space="preserve"> προσδοκιών, αυξημένης αβεβαιότητας ή έντονων ημερήσιων διορθώσεων. Αυτό είναι σύμφωνο με τη βιβλιογραφία της διαχείρισης κινδύνου, σύμφωνα με </w:t>
      </w:r>
      <w:r w:rsidRPr="005B30C1">
        <w:rPr>
          <w:lang w:val="el-GR"/>
        </w:rPr>
        <w:lastRenderedPageBreak/>
        <w:t>την οποία η μεταβλητότητα τείνει να εμφανίζεται σε ομάδες και οι μεγάλες ζημίες συχνά εμφανίζονται σε περιόδους ήδη αυξημένης αβεβαιότητας.</w:t>
      </w:r>
    </w:p>
    <w:p w14:paraId="0ECE47C3" w14:textId="77777777" w:rsidR="00FC097F" w:rsidRPr="005B30C1" w:rsidRDefault="00FC097F" w:rsidP="00FC097F">
      <w:pPr>
        <w:pStyle w:val="af"/>
        <w:rPr>
          <w:lang w:val="el-GR"/>
        </w:rPr>
      </w:pPr>
      <w:r w:rsidRPr="005B30C1">
        <w:rPr>
          <w:lang w:val="el-GR"/>
        </w:rPr>
        <w:t xml:space="preserve">Η παρατήρηση αυτή έχει πρακτική σημασία. Ένα μοντέλο </w:t>
      </w:r>
      <w:proofErr w:type="spellStart"/>
      <w:r>
        <w:t>VaR</w:t>
      </w:r>
      <w:proofErr w:type="spellEnd"/>
      <w:r w:rsidRPr="005B30C1">
        <w:rPr>
          <w:lang w:val="el-GR"/>
        </w:rPr>
        <w:t xml:space="preserve"> δεν πρέπει να αξιολογείται μόνο από τον μέσο όρο των εκτιμήσεών του, αλλά και από τη συμπεριφορά του στις περιόδους πίεσης. Η </w:t>
      </w:r>
      <w:r>
        <w:t>Historical</w:t>
      </w:r>
      <w:r w:rsidRPr="005B30C1">
        <w:rPr>
          <w:lang w:val="el-GR"/>
        </w:rPr>
        <w:t xml:space="preserve"> </w:t>
      </w:r>
      <w:proofErr w:type="spellStart"/>
      <w:r>
        <w:t>VaR</w:t>
      </w:r>
      <w:proofErr w:type="spellEnd"/>
      <w:r w:rsidRPr="005B30C1">
        <w:rPr>
          <w:lang w:val="el-GR"/>
        </w:rPr>
        <w:t xml:space="preserve"> μπορεί να παραμείνει υψηλή όσο το κυλιόμενο παράθυρο περιέχει ακραίες ζημίες, ενώ η </w:t>
      </w:r>
      <w:r>
        <w:t>EWMA</w:t>
      </w:r>
      <w:r w:rsidRPr="005B30C1">
        <w:rPr>
          <w:lang w:val="el-GR"/>
        </w:rPr>
        <w:t xml:space="preserve"> μπορεί να αντιδρά γρήγορα αλλά να εξακολουθεί να υποεκτιμά την πιθανότητα πολύ μεγάλων κινήσεων. Επομένως, η ανάλυση των εξαιρέσεων ανά περίοδο είναι απαραίτητη για να κατανοηθεί πότε και γιατί ένα μοντέλο λειτουργεί ικανοποιητικά ή αποτυγχάνει.</w:t>
      </w:r>
    </w:p>
    <w:p w14:paraId="1AA3BFC9" w14:textId="77777777" w:rsidR="00FC097F" w:rsidRPr="005B30C1" w:rsidRDefault="00FC097F" w:rsidP="002455D5">
      <w:pPr>
        <w:pStyle w:val="1"/>
        <w:rPr>
          <w:lang w:val="el-GR"/>
        </w:rPr>
      </w:pPr>
      <w:bookmarkStart w:id="73" w:name="_Toc232171097"/>
      <w:r w:rsidRPr="005B30C1">
        <w:rPr>
          <w:rFonts w:eastAsia="Times New Roman"/>
          <w:lang w:val="el-GR"/>
        </w:rPr>
        <w:t>Κεφάλαιο 5: Συμπεράσματα</w:t>
      </w:r>
      <w:bookmarkEnd w:id="73"/>
    </w:p>
    <w:p w14:paraId="1701417D" w14:textId="77777777" w:rsidR="00FC097F" w:rsidRPr="005B30C1" w:rsidRDefault="00FC097F" w:rsidP="00321E2E">
      <w:pPr>
        <w:pStyle w:val="21"/>
        <w:rPr>
          <w:lang w:val="el-GR"/>
        </w:rPr>
      </w:pPr>
      <w:bookmarkStart w:id="74" w:name="_Toc232171098"/>
      <w:bookmarkStart w:id="75" w:name="σύνοψη-της-εργασίας"/>
      <w:r w:rsidRPr="005B30C1">
        <w:rPr>
          <w:rFonts w:eastAsia="Times New Roman"/>
          <w:lang w:val="el-GR"/>
        </w:rPr>
        <w:t>5.1 Σύνοψη της εργασίας</w:t>
      </w:r>
      <w:bookmarkEnd w:id="74"/>
    </w:p>
    <w:p w14:paraId="263A061E" w14:textId="77777777" w:rsidR="00FC097F" w:rsidRPr="005B30C1" w:rsidRDefault="00FC097F" w:rsidP="00FC097F">
      <w:pPr>
        <w:ind w:firstLine="357"/>
        <w:rPr>
          <w:lang w:val="el-GR"/>
        </w:rPr>
      </w:pPr>
      <w:r w:rsidRPr="005B30C1">
        <w:rPr>
          <w:lang w:val="el-GR"/>
        </w:rPr>
        <w:t xml:space="preserve">Η παρούσα εργασία εξέτασε τη μέτρηση του κινδύνου αγοράς ενός ισοσταθμισμένου χαρτοφυλακίου τριών αμερικανικών μετοχών μέσω δύο μεθόδων </w:t>
      </w:r>
      <w:r>
        <w:t>Value</w:t>
      </w:r>
      <w:r w:rsidRPr="005B30C1">
        <w:rPr>
          <w:lang w:val="el-GR"/>
        </w:rPr>
        <w:t xml:space="preserve"> </w:t>
      </w:r>
      <w:r>
        <w:t>at</w:t>
      </w:r>
      <w:r w:rsidRPr="005B30C1">
        <w:rPr>
          <w:lang w:val="el-GR"/>
        </w:rPr>
        <w:t xml:space="preserve"> </w:t>
      </w:r>
      <w:r>
        <w:t>Risk</w:t>
      </w:r>
      <w:r w:rsidRPr="005B30C1">
        <w:rPr>
          <w:lang w:val="el-GR"/>
        </w:rPr>
        <w:t xml:space="preserve">, της </w:t>
      </w:r>
      <w:r>
        <w:t>Historical</w:t>
      </w:r>
      <w:r w:rsidRPr="005B30C1">
        <w:rPr>
          <w:lang w:val="el-GR"/>
        </w:rPr>
        <w:t xml:space="preserve"> </w:t>
      </w:r>
      <w:proofErr w:type="spellStart"/>
      <w:r>
        <w:t>VaR</w:t>
      </w:r>
      <w:proofErr w:type="spellEnd"/>
      <w:r w:rsidRPr="005B30C1">
        <w:rPr>
          <w:lang w:val="el-GR"/>
        </w:rPr>
        <w:t xml:space="preserve"> και της </w:t>
      </w:r>
      <w:r>
        <w:t>EWMA</w:t>
      </w:r>
      <w:r w:rsidRPr="005B30C1">
        <w:rPr>
          <w:lang w:val="el-GR"/>
        </w:rPr>
        <w:t xml:space="preserve"> </w:t>
      </w:r>
      <w:proofErr w:type="spellStart"/>
      <w:r>
        <w:t>VaR</w:t>
      </w:r>
      <w:proofErr w:type="spellEnd"/>
      <w:r w:rsidRPr="005B30C1">
        <w:rPr>
          <w:lang w:val="el-GR"/>
        </w:rPr>
        <w:t>. Η εργασία τοποθέτησε αρχικά τη διαχείριση κινδύνου στο ευρύτερο θεωρητικό, ιστορικό και κανονιστικό πλαίσιο, ώστε να καταδειχθεί ότι η μέτρηση κινδύνου δεν είναι απομονωμένη τεχνική άσκηση, αλλά βασική λειτουργία προστασίας οργανισμών, επενδυτών και χρηματοπιστωτικής σταθερότητας.</w:t>
      </w:r>
    </w:p>
    <w:p w14:paraId="1B097F19" w14:textId="77777777" w:rsidR="00FC097F" w:rsidRPr="005B30C1" w:rsidRDefault="00FC097F" w:rsidP="00FC097F">
      <w:pPr>
        <w:pStyle w:val="af"/>
        <w:rPr>
          <w:lang w:val="el-GR"/>
        </w:rPr>
      </w:pPr>
      <w:r w:rsidRPr="005B30C1">
        <w:rPr>
          <w:lang w:val="el-GR"/>
        </w:rPr>
        <w:t xml:space="preserve">Η θεωρητική ανάλυση ανέδειξε ότι ο κίνδυνος αγοράς αποτελεί μία από τις βασικές κατηγορίες χρηματοοικονομικού κινδύνου, μαζί με τον πιστωτικό και τον λειτουργικό κίνδυνο. Η </w:t>
      </w:r>
      <w:r>
        <w:t>Value</w:t>
      </w:r>
      <w:r w:rsidRPr="005B30C1">
        <w:rPr>
          <w:lang w:val="el-GR"/>
        </w:rPr>
        <w:t xml:space="preserve"> </w:t>
      </w:r>
      <w:r>
        <w:t>at</w:t>
      </w:r>
      <w:r w:rsidRPr="005B30C1">
        <w:rPr>
          <w:lang w:val="el-GR"/>
        </w:rPr>
        <w:t xml:space="preserve"> </w:t>
      </w:r>
      <w:r>
        <w:t>Risk</w:t>
      </w:r>
      <w:r w:rsidRPr="005B30C1">
        <w:rPr>
          <w:lang w:val="el-GR"/>
        </w:rPr>
        <w:t xml:space="preserve"> παρουσιάστηκε ως κυρίαρχο αλλά όχι τέλειο εργαλείο μέτρησης. Η βιβλιογραφική συζήτηση έδειξε ότι η </w:t>
      </w:r>
      <w:proofErr w:type="spellStart"/>
      <w:r>
        <w:t>VaR</w:t>
      </w:r>
      <w:proofErr w:type="spellEnd"/>
      <w:r w:rsidRPr="005B30C1">
        <w:rPr>
          <w:lang w:val="el-GR"/>
        </w:rPr>
        <w:t xml:space="preserve"> είναι χρήσιμη επειδή παρέχει ένα ενιαίο και εύληπτο μέτρο δυνητικής ζημίας, αλλά ταυτόχρονα έχει περιορισμούς, ιδίως όταν οι αποδόσεις εμφανίζουν αυξημένη συχνότητα ακραίων ζημιών, απότομες μεταβολές μεταβλητότητας και αλλαγές συσχετίσεων.</w:t>
      </w:r>
    </w:p>
    <w:p w14:paraId="565D9F86" w14:textId="77777777" w:rsidR="00FC097F" w:rsidRPr="005B30C1" w:rsidRDefault="00FC097F" w:rsidP="00FC097F">
      <w:pPr>
        <w:pStyle w:val="af"/>
        <w:rPr>
          <w:lang w:val="el-GR"/>
        </w:rPr>
      </w:pPr>
      <w:r w:rsidRPr="005B30C1">
        <w:rPr>
          <w:lang w:val="el-GR"/>
        </w:rPr>
        <w:t xml:space="preserve">Σε εμπειρικό επίπεδο, η εργασία χρησιμοποίησε ημερήσια δεδομένα από 02/01/2020 έως 31/12/2025 για τις μετοχές </w:t>
      </w:r>
      <w:r>
        <w:t>KO</w:t>
      </w:r>
      <w:r w:rsidRPr="005B30C1">
        <w:rPr>
          <w:lang w:val="el-GR"/>
        </w:rPr>
        <w:t xml:space="preserve">, </w:t>
      </w:r>
      <w:r>
        <w:t>MSFT</w:t>
      </w:r>
      <w:r w:rsidRPr="005B30C1">
        <w:rPr>
          <w:lang w:val="el-GR"/>
        </w:rPr>
        <w:t xml:space="preserve"> και </w:t>
      </w:r>
      <w:r>
        <w:t>JPM</w:t>
      </w:r>
      <w:r w:rsidRPr="005B30C1">
        <w:rPr>
          <w:lang w:val="el-GR"/>
        </w:rPr>
        <w:t xml:space="preserve">, καθώς και για το </w:t>
      </w:r>
      <w:r>
        <w:t>ES</w:t>
      </w:r>
      <w:r w:rsidRPr="005B30C1">
        <w:rPr>
          <w:lang w:val="el-GR"/>
        </w:rPr>
        <w:t xml:space="preserve"> </w:t>
      </w:r>
      <w:r>
        <w:t>futures</w:t>
      </w:r>
      <w:r w:rsidRPr="005B30C1">
        <w:rPr>
          <w:lang w:val="el-GR"/>
        </w:rPr>
        <w:t xml:space="preserve">. Το χαρτοφυλάκιο κατασκευάστηκε με ίση στάθμιση και η </w:t>
      </w:r>
      <w:proofErr w:type="spellStart"/>
      <w:r>
        <w:t>VaR</w:t>
      </w:r>
      <w:proofErr w:type="spellEnd"/>
      <w:r w:rsidRPr="005B30C1">
        <w:rPr>
          <w:lang w:val="el-GR"/>
        </w:rPr>
        <w:t xml:space="preserve"> υπολογίστηκε σε επίπεδο εμπιστοσύνης 99%. Το δείγμα </w:t>
      </w:r>
      <w:proofErr w:type="spellStart"/>
      <w:r>
        <w:t>backtesting</w:t>
      </w:r>
      <w:proofErr w:type="spellEnd"/>
      <w:r w:rsidRPr="005B30C1">
        <w:rPr>
          <w:lang w:val="el-GR"/>
        </w:rPr>
        <w:t>, μετά την εφαρμογή κυλιόμενου παραθύρου 250 ημερών, περιλαμβάνει 1.258 ημερήσιες προβλέψεις.</w:t>
      </w:r>
    </w:p>
    <w:p w14:paraId="60BDAF6B" w14:textId="77777777" w:rsidR="00FC097F" w:rsidRPr="005B30C1" w:rsidRDefault="00FC097F" w:rsidP="00321E2E">
      <w:pPr>
        <w:pStyle w:val="21"/>
        <w:rPr>
          <w:lang w:val="el-GR"/>
        </w:rPr>
      </w:pPr>
      <w:bookmarkStart w:id="76" w:name="_Toc232171099"/>
      <w:bookmarkStart w:id="77" w:name="κύρια-εμπειρικά-ευρήματα"/>
      <w:bookmarkEnd w:id="75"/>
      <w:r w:rsidRPr="005B30C1">
        <w:rPr>
          <w:rFonts w:eastAsia="Times New Roman"/>
          <w:lang w:val="el-GR"/>
        </w:rPr>
        <w:lastRenderedPageBreak/>
        <w:t>5.2 Κύρια εμπειρικά ευρήματα</w:t>
      </w:r>
      <w:bookmarkEnd w:id="76"/>
    </w:p>
    <w:p w14:paraId="67FF909B" w14:textId="77777777" w:rsidR="00FC097F" w:rsidRPr="005B30C1" w:rsidRDefault="00FC097F" w:rsidP="00FC097F">
      <w:pPr>
        <w:ind w:firstLine="357"/>
        <w:rPr>
          <w:lang w:val="el-GR"/>
        </w:rPr>
      </w:pPr>
      <w:r w:rsidRPr="005B30C1">
        <w:rPr>
          <w:lang w:val="el-GR"/>
        </w:rPr>
        <w:t xml:space="preserve">Το πρώτο βασικό εύρημα είναι ότι το αρχικό χαρτοφυλάκιο εμφανίζει σημαντική έκθεση σε κίνδυνο αγοράς. Η μέση ημερήσια </w:t>
      </w:r>
      <w:r>
        <w:t>EWMA</w:t>
      </w:r>
      <w:r w:rsidRPr="005B30C1">
        <w:rPr>
          <w:lang w:val="el-GR"/>
        </w:rPr>
        <w:t xml:space="preserve"> </w:t>
      </w:r>
      <w:proofErr w:type="spellStart"/>
      <w:r>
        <w:t>VaR</w:t>
      </w:r>
      <w:proofErr w:type="spellEnd"/>
      <w:r w:rsidRPr="005B30C1">
        <w:rPr>
          <w:lang w:val="el-GR"/>
        </w:rPr>
        <w:t xml:space="preserve"> ήταν 2,19%, ενώ η μέση ημερήσια </w:t>
      </w:r>
      <w:r>
        <w:t>Historical</w:t>
      </w:r>
      <w:r w:rsidRPr="005B30C1">
        <w:rPr>
          <w:lang w:val="el-GR"/>
        </w:rPr>
        <w:t xml:space="preserve"> </w:t>
      </w:r>
      <w:proofErr w:type="spellStart"/>
      <w:r>
        <w:t>VaR</w:t>
      </w:r>
      <w:proofErr w:type="spellEnd"/>
      <w:r w:rsidRPr="005B30C1">
        <w:rPr>
          <w:lang w:val="el-GR"/>
        </w:rPr>
        <w:t xml:space="preserve"> ήταν 2,76%. Σε δεκαήμερο ορίζοντα και για υποθετική αξία χαρτοφυλακίου 1.000.000 ευρώ, το μέσο </w:t>
      </w:r>
      <w:r>
        <w:t>EWMA</w:t>
      </w:r>
      <w:r w:rsidRPr="005B30C1">
        <w:rPr>
          <w:lang w:val="el-GR"/>
        </w:rPr>
        <w:t xml:space="preserve"> </w:t>
      </w:r>
      <w:proofErr w:type="spellStart"/>
      <w:r>
        <w:t>VaR</w:t>
      </w:r>
      <w:proofErr w:type="spellEnd"/>
      <w:r w:rsidRPr="005B30C1">
        <w:rPr>
          <w:lang w:val="el-GR"/>
        </w:rPr>
        <w:t xml:space="preserve"> ανήλθε σε 69.197 €, ενώ το μέσο </w:t>
      </w:r>
      <w:r>
        <w:t>Historical</w:t>
      </w:r>
      <w:r w:rsidRPr="005B30C1">
        <w:rPr>
          <w:lang w:val="el-GR"/>
        </w:rPr>
        <w:t xml:space="preserve"> </w:t>
      </w:r>
      <w:proofErr w:type="spellStart"/>
      <w:r>
        <w:t>VaR</w:t>
      </w:r>
      <w:proofErr w:type="spellEnd"/>
      <w:r w:rsidRPr="005B30C1">
        <w:rPr>
          <w:lang w:val="el-GR"/>
        </w:rPr>
        <w:t xml:space="preserve"> σε 87.371 €. Τα μεγέθη αυτά δείχνουν ότι ακόμη και ένα απλό χαρτοφυλάκιο τριών μεγάλων εταιρειών μπορεί να έχει ουσιαστική δυνητική ζημία σε περιόδους έντονης μεταβλητότητας.</w:t>
      </w:r>
    </w:p>
    <w:p w14:paraId="525B8A5C" w14:textId="77777777" w:rsidR="00FC097F" w:rsidRPr="005B30C1" w:rsidRDefault="00FC097F" w:rsidP="00FC097F">
      <w:pPr>
        <w:pStyle w:val="af"/>
        <w:rPr>
          <w:lang w:val="el-GR"/>
        </w:rPr>
      </w:pPr>
      <w:r w:rsidRPr="005B30C1">
        <w:rPr>
          <w:lang w:val="el-GR"/>
        </w:rPr>
        <w:t xml:space="preserve">Το δεύτερο εύρημα είναι ότι τα δύο υποδείγματα δεν είχαν την ίδια συμπεριφορά στο αρχικό χαρτοφυλάκιο. Η </w:t>
      </w:r>
      <w:r>
        <w:t>EWMA</w:t>
      </w:r>
      <w:r w:rsidRPr="005B30C1">
        <w:rPr>
          <w:lang w:val="el-GR"/>
        </w:rPr>
        <w:t xml:space="preserve"> </w:t>
      </w:r>
      <w:proofErr w:type="spellStart"/>
      <w:r>
        <w:t>VaR</w:t>
      </w:r>
      <w:proofErr w:type="spellEnd"/>
      <w:r w:rsidRPr="005B30C1">
        <w:rPr>
          <w:lang w:val="el-GR"/>
        </w:rPr>
        <w:t xml:space="preserve"> κατέγραψε 29 εξαιρέσεις και απορρίφθηκε από τον έλεγχο </w:t>
      </w:r>
      <w:r>
        <w:t>Kupiec</w:t>
      </w:r>
      <w:r w:rsidRPr="005B30C1">
        <w:rPr>
          <w:lang w:val="el-GR"/>
        </w:rPr>
        <w:t xml:space="preserve">, με </w:t>
      </w:r>
      <w:r>
        <w:t>p</w:t>
      </w:r>
      <w:r w:rsidRPr="005B30C1">
        <w:rPr>
          <w:lang w:val="el-GR"/>
        </w:rPr>
        <w:t>-</w:t>
      </w:r>
      <w:r>
        <w:t>value</w:t>
      </w:r>
      <w:r w:rsidRPr="005B30C1">
        <w:rPr>
          <w:lang w:val="el-GR"/>
        </w:rPr>
        <w:t xml:space="preserve"> 6,97</w:t>
      </w:r>
      <w:r>
        <w:t>E</w:t>
      </w:r>
      <w:r w:rsidRPr="005B30C1">
        <w:rPr>
          <w:lang w:val="el-GR"/>
        </w:rPr>
        <w:t xml:space="preserve">-05. Η </w:t>
      </w:r>
      <w:r>
        <w:t>Historical</w:t>
      </w:r>
      <w:r w:rsidRPr="005B30C1">
        <w:rPr>
          <w:lang w:val="el-GR"/>
        </w:rPr>
        <w:t xml:space="preserve"> </w:t>
      </w:r>
      <w:proofErr w:type="spellStart"/>
      <w:r>
        <w:t>VaR</w:t>
      </w:r>
      <w:proofErr w:type="spellEnd"/>
      <w:r w:rsidRPr="005B30C1">
        <w:rPr>
          <w:lang w:val="el-GR"/>
        </w:rPr>
        <w:t xml:space="preserve"> κατέγραψε 13 εξαιρέσεις και δεν απορρίφθηκε, με </w:t>
      </w:r>
      <w:r>
        <w:t>p</w:t>
      </w:r>
      <w:r w:rsidRPr="005B30C1">
        <w:rPr>
          <w:lang w:val="el-GR"/>
        </w:rPr>
        <w:t>-</w:t>
      </w:r>
      <w:r>
        <w:t>value</w:t>
      </w:r>
      <w:r w:rsidRPr="005B30C1">
        <w:rPr>
          <w:lang w:val="el-GR"/>
        </w:rPr>
        <w:t xml:space="preserve"> 0,9058. Το αποτέλεσμα αυτό επιβεβαιώνει ότι η </w:t>
      </w:r>
      <w:proofErr w:type="spellStart"/>
      <w:r>
        <w:t>VaR</w:t>
      </w:r>
      <w:proofErr w:type="spellEnd"/>
      <w:r w:rsidRPr="005B30C1">
        <w:rPr>
          <w:lang w:val="el-GR"/>
        </w:rPr>
        <w:t xml:space="preserve"> δεν πρέπει να χρησιμοποιείται μηχανικά. Ένα μοντέλο μπορεί να παράγει αριθμούς που φαίνονται λογικοί, αλλά μόνο το </w:t>
      </w:r>
      <w:proofErr w:type="spellStart"/>
      <w:r>
        <w:t>backtesting</w:t>
      </w:r>
      <w:proofErr w:type="spellEnd"/>
      <w:r w:rsidRPr="005B30C1">
        <w:rPr>
          <w:lang w:val="el-GR"/>
        </w:rPr>
        <w:t xml:space="preserve"> δείχνει αν οι αριθμοί αυτοί είναι στατιστικά συμβατοί με την πραγματικότητα.</w:t>
      </w:r>
    </w:p>
    <w:p w14:paraId="1CD7D586" w14:textId="77777777" w:rsidR="00FC097F" w:rsidRPr="005B30C1" w:rsidRDefault="00FC097F" w:rsidP="00FC097F">
      <w:pPr>
        <w:pStyle w:val="af"/>
        <w:rPr>
          <w:lang w:val="el-GR"/>
        </w:rPr>
      </w:pPr>
      <w:r w:rsidRPr="005B30C1">
        <w:rPr>
          <w:lang w:val="el-GR"/>
        </w:rPr>
        <w:t xml:space="preserve">Το τρίτο εύρημα είναι ότι η αντιστάθμιση με </w:t>
      </w:r>
      <w:r>
        <w:t>ES</w:t>
      </w:r>
      <w:r w:rsidRPr="005B30C1">
        <w:rPr>
          <w:lang w:val="el-GR"/>
        </w:rPr>
        <w:t xml:space="preserve"> </w:t>
      </w:r>
      <w:r>
        <w:t>futures</w:t>
      </w:r>
      <w:r w:rsidRPr="005B30C1">
        <w:rPr>
          <w:lang w:val="el-GR"/>
        </w:rPr>
        <w:t xml:space="preserve"> βελτίωσε ουσιαστικά το προφίλ κινδύνου. Στο δείγμα </w:t>
      </w:r>
      <w:proofErr w:type="spellStart"/>
      <w:r>
        <w:t>backtesting</w:t>
      </w:r>
      <w:proofErr w:type="spellEnd"/>
      <w:r w:rsidRPr="005B30C1">
        <w:rPr>
          <w:lang w:val="el-GR"/>
        </w:rPr>
        <w:t xml:space="preserve">, η ημερήσια τυπική απόκλιση μειώθηκε από 0,995% σε 0,539%, δηλαδή κατά περίπου 45,84%. Στο πλήρες δείγμα, η αντίστοιχη μείωση της μεταβλητότητας είναι περίπου 51,11%. Η μέση ημερήσια </w:t>
      </w:r>
      <w:r>
        <w:t>EWMA</w:t>
      </w:r>
      <w:r w:rsidRPr="005B30C1">
        <w:rPr>
          <w:lang w:val="el-GR"/>
        </w:rPr>
        <w:t xml:space="preserve"> </w:t>
      </w:r>
      <w:proofErr w:type="spellStart"/>
      <w:r>
        <w:t>VaR</w:t>
      </w:r>
      <w:proofErr w:type="spellEnd"/>
      <w:r w:rsidRPr="005B30C1">
        <w:rPr>
          <w:lang w:val="el-GR"/>
        </w:rPr>
        <w:t xml:space="preserve"> μειώθηκε κατά 43,73%, ενώ η μέση ημερήσια </w:t>
      </w:r>
      <w:r>
        <w:t>Historical</w:t>
      </w:r>
      <w:r w:rsidRPr="005B30C1">
        <w:rPr>
          <w:lang w:val="el-GR"/>
        </w:rPr>
        <w:t xml:space="preserve"> </w:t>
      </w:r>
      <w:proofErr w:type="spellStart"/>
      <w:r>
        <w:t>VaR</w:t>
      </w:r>
      <w:proofErr w:type="spellEnd"/>
      <w:r w:rsidRPr="005B30C1">
        <w:rPr>
          <w:lang w:val="el-GR"/>
        </w:rPr>
        <w:t xml:space="preserve"> κατά 46,60%.</w:t>
      </w:r>
    </w:p>
    <w:p w14:paraId="1F2730F3" w14:textId="77777777" w:rsidR="00FC097F" w:rsidRPr="005B30C1" w:rsidRDefault="00FC097F" w:rsidP="00FC097F">
      <w:pPr>
        <w:pStyle w:val="af"/>
        <w:rPr>
          <w:lang w:val="el-GR"/>
        </w:rPr>
      </w:pPr>
      <w:r w:rsidRPr="005B30C1">
        <w:rPr>
          <w:lang w:val="el-GR"/>
        </w:rPr>
        <w:t xml:space="preserve">Το τέταρτο εύρημα είναι ότι η αντιστάθμιση δεν οδηγεί αυτόματα σε αποδοχή όλων των μοντέλων </w:t>
      </w:r>
      <w:proofErr w:type="spellStart"/>
      <w:r>
        <w:t>VaR</w:t>
      </w:r>
      <w:proofErr w:type="spellEnd"/>
      <w:r w:rsidRPr="005B30C1">
        <w:rPr>
          <w:lang w:val="el-GR"/>
        </w:rPr>
        <w:t xml:space="preserve">. Μετά την αντιστάθμιση, η </w:t>
      </w:r>
      <w:r>
        <w:t>EWMA</w:t>
      </w:r>
      <w:r w:rsidRPr="005B30C1">
        <w:rPr>
          <w:lang w:val="el-GR"/>
        </w:rPr>
        <w:t xml:space="preserve"> </w:t>
      </w:r>
      <w:proofErr w:type="spellStart"/>
      <w:r>
        <w:t>VaR</w:t>
      </w:r>
      <w:proofErr w:type="spellEnd"/>
      <w:r w:rsidRPr="005B30C1">
        <w:rPr>
          <w:lang w:val="el-GR"/>
        </w:rPr>
        <w:t xml:space="preserve"> εμφάνισε 28 εξαιρέσεις και </w:t>
      </w:r>
      <w:r>
        <w:t>p</w:t>
      </w:r>
      <w:r w:rsidRPr="005B30C1">
        <w:rPr>
          <w:lang w:val="el-GR"/>
        </w:rPr>
        <w:t>-</w:t>
      </w:r>
      <w:r>
        <w:t>value</w:t>
      </w:r>
      <w:r w:rsidRPr="005B30C1">
        <w:rPr>
          <w:lang w:val="el-GR"/>
        </w:rPr>
        <w:t xml:space="preserve"> 0,000168, συνεπώς απορρίφθηκε. Η </w:t>
      </w:r>
      <w:r>
        <w:t>Historical</w:t>
      </w:r>
      <w:r w:rsidRPr="005B30C1">
        <w:rPr>
          <w:lang w:val="el-GR"/>
        </w:rPr>
        <w:t xml:space="preserve"> </w:t>
      </w:r>
      <w:proofErr w:type="spellStart"/>
      <w:r>
        <w:t>VaR</w:t>
      </w:r>
      <w:proofErr w:type="spellEnd"/>
      <w:r w:rsidRPr="005B30C1">
        <w:rPr>
          <w:lang w:val="el-GR"/>
        </w:rPr>
        <w:t xml:space="preserve"> εμφάνισε 16 εξαιρέσεις και </w:t>
      </w:r>
      <w:r>
        <w:t>p</w:t>
      </w:r>
      <w:r w:rsidRPr="005B30C1">
        <w:rPr>
          <w:lang w:val="el-GR"/>
        </w:rPr>
        <w:t>-</w:t>
      </w:r>
      <w:r>
        <w:t>value</w:t>
      </w:r>
      <w:r w:rsidRPr="005B30C1">
        <w:rPr>
          <w:lang w:val="el-GR"/>
        </w:rPr>
        <w:t xml:space="preserve"> 0,3524, συνεπώς δεν απορρίφθηκε. Αυτό σημαίνει ότι η αντιστάθμιση μειώνει ουσιαστικά τον κίνδυνο του χαρτοφυλακίου, αλλά η στατιστική αξιοπιστία κάθε μεθόδου πρέπει να αξιολογείται ξεχωριστά.</w:t>
      </w:r>
    </w:p>
    <w:p w14:paraId="3D8DA7C1" w14:textId="77777777" w:rsidR="00FC097F" w:rsidRPr="005B30C1" w:rsidRDefault="00FC097F" w:rsidP="00FC097F">
      <w:pPr>
        <w:pStyle w:val="af"/>
        <w:rPr>
          <w:lang w:val="el-GR"/>
        </w:rPr>
      </w:pPr>
      <w:r w:rsidRPr="005B30C1">
        <w:rPr>
          <w:lang w:val="el-GR"/>
        </w:rPr>
        <w:t xml:space="preserve">Το σημαντικότερο εμπειρικό συμπέρασμα είναι ότι η αντιστάθμιση δεν αξιολογείται απλώς από τη θεωρητική της κατεύθυνση, αλλά από την πραγματική της επίδραση στα μεγέθη κινδύνου. Αν η </w:t>
      </w:r>
      <w:r>
        <w:t>short</w:t>
      </w:r>
      <w:r w:rsidRPr="005B30C1">
        <w:rPr>
          <w:lang w:val="el-GR"/>
        </w:rPr>
        <w:t xml:space="preserve"> θέση σε </w:t>
      </w:r>
      <w:r>
        <w:t>futures</w:t>
      </w:r>
      <w:r w:rsidRPr="005B30C1">
        <w:rPr>
          <w:lang w:val="el-GR"/>
        </w:rPr>
        <w:t xml:space="preserve"> μείωνε μόνο οριακά τη μεταβλητότητα, τότε δεν θα μπορούσε να θεωρηθεί ιδιαίτερα αποτελεσματική. Στα αποτελέσματα της εργασίας, όμως, η μείωση είναι καθαρή σε επίπεδο τυπικής απόκλισης και </w:t>
      </w:r>
      <w:proofErr w:type="spellStart"/>
      <w:r>
        <w:t>VaR</w:t>
      </w:r>
      <w:proofErr w:type="spellEnd"/>
      <w:r w:rsidRPr="005B30C1">
        <w:rPr>
          <w:lang w:val="el-GR"/>
        </w:rPr>
        <w:t xml:space="preserve">. Παράλληλα, το </w:t>
      </w:r>
      <w:proofErr w:type="spellStart"/>
      <w:r>
        <w:t>backtesting</w:t>
      </w:r>
      <w:proofErr w:type="spellEnd"/>
      <w:r w:rsidRPr="005B30C1">
        <w:rPr>
          <w:lang w:val="el-GR"/>
        </w:rPr>
        <w:t xml:space="preserve"> δείχνει ότι η μείωση του κινδύνου δεν αρκεί από μόνη της για να κριθεί αξιόπιστο ένα υπόδειγμα.</w:t>
      </w:r>
    </w:p>
    <w:p w14:paraId="7E6969E8" w14:textId="77777777" w:rsidR="00FC097F" w:rsidRPr="005B30C1" w:rsidRDefault="00FC097F" w:rsidP="00FC097F">
      <w:pPr>
        <w:pStyle w:val="af"/>
        <w:rPr>
          <w:lang w:val="el-GR"/>
        </w:rPr>
      </w:pPr>
      <w:r w:rsidRPr="005B30C1">
        <w:rPr>
          <w:lang w:val="el-GR"/>
        </w:rPr>
        <w:lastRenderedPageBreak/>
        <w:t xml:space="preserve">Παράλληλα, τα αποτελέσματα υπογραμμίζουν τη σημασία της σωστής σειράς ανάλυσης. Αν η εργασία ξεκινούσε απευθείας από το </w:t>
      </w:r>
      <w:r>
        <w:t>hedging</w:t>
      </w:r>
      <w:r w:rsidRPr="005B30C1">
        <w:rPr>
          <w:lang w:val="el-GR"/>
        </w:rPr>
        <w:t xml:space="preserve">, θα παρέλειπε το βασικό ερώτημα της μέτρησης κινδύνου. Αντίθετα, η ανάλυση πρώτα καταγράφει την έκθεση του αρχικού χαρτοφυλακίου, στη συνέχεια ελέγχει αν τα μοντέλα </w:t>
      </w:r>
      <w:proofErr w:type="spellStart"/>
      <w:r>
        <w:t>VaR</w:t>
      </w:r>
      <w:proofErr w:type="spellEnd"/>
      <w:r w:rsidRPr="005B30C1">
        <w:rPr>
          <w:lang w:val="el-GR"/>
        </w:rPr>
        <w:t xml:space="preserve"> είναι αξιόπιστα, και μόνο μετά αξιολογεί την επίδραση της αντιστάθμισης. Αυτή η σειρά αντανακλά καλύτερα την πραγματική διαδικασία </w:t>
      </w:r>
      <w:r>
        <w:t>risk</w:t>
      </w:r>
      <w:r w:rsidRPr="005B30C1">
        <w:rPr>
          <w:lang w:val="el-GR"/>
        </w:rPr>
        <w:t xml:space="preserve"> </w:t>
      </w:r>
      <w:r>
        <w:t>management</w:t>
      </w:r>
      <w:r w:rsidRPr="005B30C1">
        <w:rPr>
          <w:lang w:val="el-GR"/>
        </w:rPr>
        <w:t>.</w:t>
      </w:r>
    </w:p>
    <w:p w14:paraId="2D10DE78" w14:textId="77777777" w:rsidR="00FC097F" w:rsidRPr="005B30C1" w:rsidRDefault="00FC097F" w:rsidP="00321E2E">
      <w:pPr>
        <w:pStyle w:val="21"/>
        <w:rPr>
          <w:lang w:val="el-GR"/>
        </w:rPr>
      </w:pPr>
      <w:bookmarkStart w:id="78" w:name="_Toc232171100"/>
      <w:bookmarkStart w:id="79" w:name="θεωρητική-και-πρακτική-συμβολή"/>
      <w:bookmarkEnd w:id="77"/>
      <w:r w:rsidRPr="005B30C1">
        <w:rPr>
          <w:rFonts w:eastAsia="Times New Roman"/>
          <w:lang w:val="el-GR"/>
        </w:rPr>
        <w:t>5.3 Θεωρητική και πρακτική συμβολή</w:t>
      </w:r>
      <w:bookmarkEnd w:id="78"/>
    </w:p>
    <w:p w14:paraId="7B337EBA" w14:textId="77777777" w:rsidR="00FC097F" w:rsidRPr="005B30C1" w:rsidRDefault="00FC097F" w:rsidP="00FC097F">
      <w:pPr>
        <w:ind w:firstLine="357"/>
        <w:rPr>
          <w:lang w:val="el-GR"/>
        </w:rPr>
      </w:pPr>
      <w:r w:rsidRPr="005B30C1">
        <w:rPr>
          <w:lang w:val="el-GR"/>
        </w:rPr>
        <w:t xml:space="preserve">Η θεωρητική συμβολή της εργασίας βρίσκεται στη σύνδεση τριών επιπέδων ανάλυσης. Πρώτον, παρουσιάζεται το ιστορικό και θεσμικό πλαίσιο που εξηγεί γιατί η διαχείριση κινδύνου έχει κεντρικό ρόλο στους χρηματοπιστωτικούς οργανισμούς. Δεύτερον, αναλύεται η </w:t>
      </w:r>
      <w:proofErr w:type="spellStart"/>
      <w:r>
        <w:t>VaR</w:t>
      </w:r>
      <w:proofErr w:type="spellEnd"/>
      <w:r w:rsidRPr="005B30C1">
        <w:rPr>
          <w:lang w:val="el-GR"/>
        </w:rPr>
        <w:t xml:space="preserve"> ως εργαλείο μέτρησης κινδύνου αγοράς, με τα πλεονεκτήματα και τους περιορισμούς της. Τρίτον, εφαρμόζεται εμπειρικά η μέτρηση κινδύνου και συνδέεται με μια πρακτική απόφαση αντιστάθμισης.</w:t>
      </w:r>
    </w:p>
    <w:p w14:paraId="01919D4F" w14:textId="77777777" w:rsidR="00FC097F" w:rsidRPr="005B30C1" w:rsidRDefault="00FC097F" w:rsidP="00FC097F">
      <w:pPr>
        <w:pStyle w:val="af"/>
        <w:rPr>
          <w:lang w:val="el-GR"/>
        </w:rPr>
      </w:pPr>
      <w:r w:rsidRPr="005B30C1">
        <w:rPr>
          <w:lang w:val="el-GR"/>
        </w:rPr>
        <w:t xml:space="preserve">Η πρακτική συμβολή είναι ότι η εργασία δείχνει πώς ένα σχετικά απλό πλαίσιο </w:t>
      </w:r>
      <w:r>
        <w:t>Excel</w:t>
      </w:r>
      <w:r w:rsidRPr="005B30C1">
        <w:rPr>
          <w:lang w:val="el-GR"/>
        </w:rPr>
        <w:t xml:space="preserve"> μπορεί να χρησιμοποιηθεί για ολοκληρωμένη ανάλυση κινδύνου. Η διαδικασία περιλαμβάνει συλλογή δεδομένων, υπολογισμό αποδόσεων, εκτίμηση </w:t>
      </w:r>
      <w:proofErr w:type="spellStart"/>
      <w:r>
        <w:t>VaR</w:t>
      </w:r>
      <w:proofErr w:type="spellEnd"/>
      <w:r w:rsidRPr="005B30C1">
        <w:rPr>
          <w:lang w:val="el-GR"/>
        </w:rPr>
        <w:t xml:space="preserve">, </w:t>
      </w:r>
      <w:proofErr w:type="spellStart"/>
      <w:r>
        <w:t>backtesting</w:t>
      </w:r>
      <w:proofErr w:type="spellEnd"/>
      <w:r w:rsidRPr="005B30C1">
        <w:rPr>
          <w:lang w:val="el-GR"/>
        </w:rPr>
        <w:t>, εκτίμηση λόγου αντιστάθμισης και επαναξιολόγηση του κινδύνου μετά την αντιστάθμιση. Με αυτόν τον τρόπο, η εργασία δεν περιορίζεται σε θεωρητική περιγραφή, αλλά δείχνει πώς οι έννοιες της βιβλιογραφίας μπορούν να εφαρμοστούν σε πραγματικά δεδομένα.</w:t>
      </w:r>
    </w:p>
    <w:p w14:paraId="4A4C9D5D" w14:textId="77777777" w:rsidR="00FC097F" w:rsidRPr="005B30C1" w:rsidRDefault="00FC097F" w:rsidP="00FC097F">
      <w:pPr>
        <w:pStyle w:val="af"/>
        <w:rPr>
          <w:lang w:val="el-GR"/>
        </w:rPr>
      </w:pPr>
      <w:r w:rsidRPr="005B30C1">
        <w:rPr>
          <w:lang w:val="el-GR"/>
        </w:rPr>
        <w:t xml:space="preserve">Επιπλέον, η εργασία αναδεικνύει την ανάγκη διαχωρισμού μεταξύ μέτρησης κινδύνου και λήψης επενδυτικών αποφάσεων. Ο </w:t>
      </w:r>
      <w:r>
        <w:t>risk</w:t>
      </w:r>
      <w:r w:rsidRPr="005B30C1">
        <w:rPr>
          <w:lang w:val="el-GR"/>
        </w:rPr>
        <w:t xml:space="preserve"> </w:t>
      </w:r>
      <w:r>
        <w:t>manager</w:t>
      </w:r>
      <w:r w:rsidRPr="005B30C1">
        <w:rPr>
          <w:lang w:val="el-GR"/>
        </w:rPr>
        <w:t xml:space="preserve"> πρέπει να μετρά ανεξάρτητα τον κίνδυνο και να αξιολογεί την αξιοπιστία των μοντέλων. Ο </w:t>
      </w:r>
      <w:r>
        <w:t>portfolio</w:t>
      </w:r>
      <w:r w:rsidRPr="005B30C1">
        <w:rPr>
          <w:lang w:val="el-GR"/>
        </w:rPr>
        <w:t xml:space="preserve"> </w:t>
      </w:r>
      <w:r>
        <w:t>manager</w:t>
      </w:r>
      <w:r w:rsidRPr="005B30C1">
        <w:rPr>
          <w:lang w:val="el-GR"/>
        </w:rPr>
        <w:t xml:space="preserve"> μπορεί να χρησιμοποιεί αυτή την πληροφόρηση για να αποφασίσει αν θα αντισταθμίσει, σε ποιο βαθμό και με ποιο μέσο. Η σύνδεση των δύο λειτουργιών είναι απαραίτητη, αλλά η ταύτισή τους είναι επικίνδυνη.</w:t>
      </w:r>
    </w:p>
    <w:p w14:paraId="783DE56E" w14:textId="77777777" w:rsidR="00FC097F" w:rsidRPr="005B30C1" w:rsidRDefault="00FC097F" w:rsidP="00FC097F">
      <w:pPr>
        <w:pStyle w:val="af"/>
        <w:rPr>
          <w:lang w:val="el-GR"/>
        </w:rPr>
      </w:pPr>
      <w:r w:rsidRPr="005B30C1">
        <w:rPr>
          <w:lang w:val="el-GR"/>
        </w:rPr>
        <w:t xml:space="preserve">Σε θεωρητικό επίπεδο, η εργασία συνδέει τρεις διαφορετικές περιοχές της βιβλιογραφίας: τη διαχείριση κινδύνου αγοράς, τη στατιστική αξιολόγηση μοντέλων </w:t>
      </w:r>
      <w:proofErr w:type="spellStart"/>
      <w:r>
        <w:t>VaR</w:t>
      </w:r>
      <w:proofErr w:type="spellEnd"/>
      <w:r w:rsidRPr="005B30C1">
        <w:rPr>
          <w:lang w:val="el-GR"/>
        </w:rPr>
        <w:t xml:space="preserve"> και τη χρήση παραγώγων για αντιστάθμιση. Η συμβολή δεν βρίσκεται στην ανάπτυξη νέου υποδείγματος, αλλά στη συνεκτική εφαρμογή υπαρχόντων εργαλείων με τρόπο που αναδεικνύει τη σχέση μεταξύ τους. Η </w:t>
      </w:r>
      <w:proofErr w:type="spellStart"/>
      <w:r>
        <w:t>VaR</w:t>
      </w:r>
      <w:proofErr w:type="spellEnd"/>
      <w:r w:rsidRPr="005B30C1">
        <w:rPr>
          <w:lang w:val="el-GR"/>
        </w:rPr>
        <w:t xml:space="preserve"> παρέχει το μέτρο, το </w:t>
      </w:r>
      <w:proofErr w:type="spellStart"/>
      <w:r>
        <w:t>backtesting</w:t>
      </w:r>
      <w:proofErr w:type="spellEnd"/>
      <w:r w:rsidRPr="005B30C1">
        <w:rPr>
          <w:lang w:val="el-GR"/>
        </w:rPr>
        <w:t xml:space="preserve"> ελέγχει την αξιοπιστία του μέτρου και το </w:t>
      </w:r>
      <w:r>
        <w:t>hedging</w:t>
      </w:r>
      <w:r w:rsidRPr="005B30C1">
        <w:rPr>
          <w:lang w:val="el-GR"/>
        </w:rPr>
        <w:t xml:space="preserve"> εξετάζει αν μια πρακτική ενέργεια μπορεί να μειώσει τον κίνδυνο.</w:t>
      </w:r>
    </w:p>
    <w:p w14:paraId="7997A0CC" w14:textId="77777777" w:rsidR="00FC097F" w:rsidRPr="005B30C1" w:rsidRDefault="00FC097F" w:rsidP="00FC097F">
      <w:pPr>
        <w:pStyle w:val="af"/>
        <w:rPr>
          <w:lang w:val="el-GR"/>
        </w:rPr>
      </w:pPr>
      <w:r w:rsidRPr="005B30C1">
        <w:rPr>
          <w:lang w:val="el-GR"/>
        </w:rPr>
        <w:lastRenderedPageBreak/>
        <w:t>Σε πρακτικό επίπεδο, η εργασία δείχνει πώς ένας οργανισμός θα μπορούσε να χρησιμοποιήσει μια ανάλογη διαδικασία για εσωτερική παρακολούθηση κινδύνου. Το ίδιο σχήμα μπορεί να εφαρμοστεί σε διαφορετικά χαρτοφυλάκια, σε διαφορετικούς δείκτες αντιστάθμισης ή σε διαφορετικά επίπεδα εμπιστοσύνης. Η βασική αρχή παραμένει η ίδια: μέτρηση, έλεγχος, ερμηνεία και πιθανή διοικητική παρέμβαση. Αυτή η λογική είναι πιο σημαντική από το ίδιο το αριθμητικό αποτέλεσμα, διότι αποτελεί μεταφέρσιμη μεθοδολογία.</w:t>
      </w:r>
    </w:p>
    <w:p w14:paraId="4900AB6B" w14:textId="77777777" w:rsidR="00FC097F" w:rsidRPr="005B30C1" w:rsidRDefault="00FC097F" w:rsidP="00321E2E">
      <w:pPr>
        <w:pStyle w:val="21"/>
        <w:rPr>
          <w:lang w:val="el-GR"/>
        </w:rPr>
      </w:pPr>
      <w:bookmarkStart w:id="80" w:name="_Toc232171101"/>
      <w:bookmarkStart w:id="81" w:name="περιορισμοί-της-εργασίας"/>
      <w:bookmarkEnd w:id="79"/>
      <w:r w:rsidRPr="005B30C1">
        <w:rPr>
          <w:rFonts w:eastAsia="Times New Roman"/>
          <w:lang w:val="el-GR"/>
        </w:rPr>
        <w:t>5.4 Περιορισμοί της εργασίας</w:t>
      </w:r>
      <w:bookmarkEnd w:id="80"/>
    </w:p>
    <w:p w14:paraId="39BD04B5" w14:textId="77777777" w:rsidR="00FC097F" w:rsidRPr="005B30C1" w:rsidRDefault="00FC097F" w:rsidP="00FC097F">
      <w:pPr>
        <w:ind w:firstLine="357"/>
        <w:rPr>
          <w:lang w:val="el-GR"/>
        </w:rPr>
      </w:pPr>
      <w:r w:rsidRPr="005B30C1">
        <w:rPr>
          <w:lang w:val="el-GR"/>
        </w:rPr>
        <w:t xml:space="preserve">Η εργασία έχει ορισμένους περιορισμούς. Πρώτον, το χαρτοφυλάκιο αποτελείται μόνο από τρεις μετοχές. Ένα μεγαλύτερο και πιο διαφοροποιημένο χαρτοφυλάκιο θα μπορούσε να δώσει διαφορετικά αποτελέσματα, ιδίως ως προς τον ειδικό κίνδυνο. Δεύτερον, η αντιστάθμιση γίνεται με ένα ευρύ χρηματιστηριακό </w:t>
      </w:r>
      <w:r>
        <w:t>futures</w:t>
      </w:r>
      <w:r w:rsidRPr="005B30C1">
        <w:rPr>
          <w:lang w:val="el-GR"/>
        </w:rPr>
        <w:t xml:space="preserve"> και όχι με μέσα ειδικά προσαρμοσμένα σε κάθε μετοχή. Επομένως, παραμένει </w:t>
      </w:r>
      <w:r>
        <w:t>basis</w:t>
      </w:r>
      <w:r w:rsidRPr="005B30C1">
        <w:rPr>
          <w:lang w:val="el-GR"/>
        </w:rPr>
        <w:t xml:space="preserve"> </w:t>
      </w:r>
      <w:r>
        <w:t>risk</w:t>
      </w:r>
      <w:r w:rsidRPr="005B30C1">
        <w:rPr>
          <w:lang w:val="el-GR"/>
        </w:rPr>
        <w:t>.</w:t>
      </w:r>
    </w:p>
    <w:p w14:paraId="236A6F9E" w14:textId="77777777" w:rsidR="00FC097F" w:rsidRPr="005B30C1" w:rsidRDefault="00FC097F" w:rsidP="00FC097F">
      <w:pPr>
        <w:pStyle w:val="af"/>
        <w:rPr>
          <w:lang w:val="el-GR"/>
        </w:rPr>
      </w:pPr>
      <w:r w:rsidRPr="005B30C1">
        <w:rPr>
          <w:lang w:val="el-GR"/>
        </w:rPr>
        <w:t xml:space="preserve">Τρίτον, τα μοντέλα που χρησιμοποιούνται είναι σχετικά απλά. Η </w:t>
      </w:r>
      <w:r>
        <w:t>Historical</w:t>
      </w:r>
      <w:r w:rsidRPr="005B30C1">
        <w:rPr>
          <w:lang w:val="el-GR"/>
        </w:rPr>
        <w:t xml:space="preserve"> </w:t>
      </w:r>
      <w:proofErr w:type="spellStart"/>
      <w:r>
        <w:t>VaR</w:t>
      </w:r>
      <w:proofErr w:type="spellEnd"/>
      <w:r w:rsidRPr="005B30C1">
        <w:rPr>
          <w:lang w:val="el-GR"/>
        </w:rPr>
        <w:t xml:space="preserve"> και η </w:t>
      </w:r>
      <w:r>
        <w:t>EWMA</w:t>
      </w:r>
      <w:r w:rsidRPr="005B30C1">
        <w:rPr>
          <w:lang w:val="el-GR"/>
        </w:rPr>
        <w:t xml:space="preserve"> </w:t>
      </w:r>
      <w:proofErr w:type="spellStart"/>
      <w:r>
        <w:t>VaR</w:t>
      </w:r>
      <w:proofErr w:type="spellEnd"/>
      <w:r w:rsidRPr="005B30C1">
        <w:rPr>
          <w:lang w:val="el-GR"/>
        </w:rPr>
        <w:t xml:space="preserve"> επιλέχθηκαν για λόγους διαφάνειας και πρακτικής εφαρμογής, αλλά δεν εξαντλούν τη βιβλιογραφία. </w:t>
      </w:r>
      <w:r>
        <w:t>Υπ</w:t>
      </w:r>
      <w:proofErr w:type="spellStart"/>
      <w:r>
        <w:t>οδείγμ</w:t>
      </w:r>
      <w:proofErr w:type="spellEnd"/>
      <w:r>
        <w:t>ατα GARCH, filtered historical simulation, Monte Carlo simulation ή Expected Shortfall θα μπ</w:t>
      </w:r>
      <w:proofErr w:type="spellStart"/>
      <w:r>
        <w:t>ορούσ</w:t>
      </w:r>
      <w:proofErr w:type="spellEnd"/>
      <w:r>
        <w:t xml:space="preserve">αν να </w:t>
      </w:r>
      <w:proofErr w:type="spellStart"/>
      <w:r>
        <w:t>δώσουν</w:t>
      </w:r>
      <w:proofErr w:type="spellEnd"/>
      <w:r>
        <w:t xml:space="preserve"> π</w:t>
      </w:r>
      <w:proofErr w:type="spellStart"/>
      <w:r>
        <w:t>ιο</w:t>
      </w:r>
      <w:proofErr w:type="spellEnd"/>
      <w:r>
        <w:t xml:space="preserve"> </w:t>
      </w:r>
      <w:proofErr w:type="spellStart"/>
      <w:r>
        <w:t>σύνθετη</w:t>
      </w:r>
      <w:proofErr w:type="spellEnd"/>
      <w:r>
        <w:t xml:space="preserve"> </w:t>
      </w:r>
      <w:proofErr w:type="spellStart"/>
      <w:r>
        <w:t>εικόν</w:t>
      </w:r>
      <w:proofErr w:type="spellEnd"/>
      <w:r>
        <w:t xml:space="preserve">α. </w:t>
      </w:r>
      <w:r w:rsidRPr="005B30C1">
        <w:rPr>
          <w:lang w:val="el-GR"/>
        </w:rPr>
        <w:t xml:space="preserve">Τέταρτον, η εργασία δεν λαμβάνει υπόψη κόστη συναλλαγών, απαιτήσεις </w:t>
      </w:r>
      <w:r>
        <w:t>margin</w:t>
      </w:r>
      <w:r w:rsidRPr="005B30C1">
        <w:rPr>
          <w:lang w:val="el-GR"/>
        </w:rPr>
        <w:t>, φορολογικές επιπτώσεις ή ζητήματα ρευστότητας, τα οποία θα ήταν σημαντικά σε πραγματική επενδυτική εφαρμογή.</w:t>
      </w:r>
    </w:p>
    <w:p w14:paraId="4548CE66" w14:textId="77777777" w:rsidR="00FC097F" w:rsidRPr="005B30C1" w:rsidRDefault="00FC097F" w:rsidP="00321E2E">
      <w:pPr>
        <w:pStyle w:val="21"/>
        <w:rPr>
          <w:lang w:val="el-GR"/>
        </w:rPr>
      </w:pPr>
      <w:bookmarkStart w:id="82" w:name="_Toc232171102"/>
      <w:bookmarkStart w:id="83" w:name="προτάσεις-για-μελλοντική-έρευνα"/>
      <w:bookmarkEnd w:id="81"/>
      <w:r w:rsidRPr="005B30C1">
        <w:rPr>
          <w:rFonts w:eastAsia="Times New Roman"/>
          <w:lang w:val="el-GR"/>
        </w:rPr>
        <w:t>5.5 Προτάσεις για μελλοντική έρευνα</w:t>
      </w:r>
      <w:bookmarkEnd w:id="82"/>
    </w:p>
    <w:p w14:paraId="1522FC45" w14:textId="77777777" w:rsidR="00FC097F" w:rsidRPr="005B30C1" w:rsidRDefault="00FC097F" w:rsidP="00FC097F">
      <w:pPr>
        <w:ind w:firstLine="357"/>
        <w:rPr>
          <w:lang w:val="el-GR"/>
        </w:rPr>
      </w:pPr>
      <w:r w:rsidRPr="005B30C1">
        <w:rPr>
          <w:lang w:val="el-GR"/>
        </w:rPr>
        <w:t xml:space="preserve">Μελλοντική έρευνα θα μπορούσε να επεκτείνει την ανάλυση σε μεγαλύτερο αριθμό μετοχών και σε διαφορετικά χαρτοφυλάκια, όπως κλαδικά, διεθνή ή </w:t>
      </w:r>
      <w:proofErr w:type="spellStart"/>
      <w:r w:rsidRPr="005B30C1">
        <w:rPr>
          <w:lang w:val="el-GR"/>
        </w:rPr>
        <w:t>πολυνομισματικά</w:t>
      </w:r>
      <w:proofErr w:type="spellEnd"/>
      <w:r w:rsidRPr="005B30C1">
        <w:rPr>
          <w:lang w:val="el-GR"/>
        </w:rPr>
        <w:t xml:space="preserve"> χαρτοφυλάκια. Επίσης, θα μπορούσε να συγκρίνει τη </w:t>
      </w:r>
      <w:proofErr w:type="spellStart"/>
      <w:r>
        <w:t>VaR</w:t>
      </w:r>
      <w:proofErr w:type="spellEnd"/>
      <w:r w:rsidRPr="005B30C1">
        <w:rPr>
          <w:lang w:val="el-GR"/>
        </w:rPr>
        <w:t xml:space="preserve"> με την </w:t>
      </w:r>
      <w:r>
        <w:t>Expected</w:t>
      </w:r>
      <w:r w:rsidRPr="005B30C1">
        <w:rPr>
          <w:lang w:val="el-GR"/>
        </w:rPr>
        <w:t xml:space="preserve"> </w:t>
      </w:r>
      <w:r>
        <w:t>Shortfall</w:t>
      </w:r>
      <w:r w:rsidRPr="005B30C1">
        <w:rPr>
          <w:lang w:val="el-GR"/>
        </w:rPr>
        <w:t xml:space="preserve">, η οποία εξετάζει τη μέση ζημία πέρα από το όριο της </w:t>
      </w:r>
      <w:proofErr w:type="spellStart"/>
      <w:r>
        <w:t>VaR</w:t>
      </w:r>
      <w:proofErr w:type="spellEnd"/>
      <w:r w:rsidRPr="005B30C1">
        <w:rPr>
          <w:lang w:val="el-GR"/>
        </w:rPr>
        <w:t xml:space="preserve"> και θεωρείται πιο κατάλληλη για την αποτύπωση ακραίου κινδύνου. Μια ακόμη επέκταση θα ήταν η χρήση </w:t>
      </w:r>
      <w:r>
        <w:t>GARCH</w:t>
      </w:r>
      <w:r w:rsidRPr="005B30C1">
        <w:rPr>
          <w:lang w:val="el-GR"/>
        </w:rPr>
        <w:t xml:space="preserve"> ή </w:t>
      </w:r>
      <w:r>
        <w:t>filtered</w:t>
      </w:r>
      <w:r w:rsidRPr="005B30C1">
        <w:rPr>
          <w:lang w:val="el-GR"/>
        </w:rPr>
        <w:t xml:space="preserve"> </w:t>
      </w:r>
      <w:r>
        <w:t>historical</w:t>
      </w:r>
      <w:r w:rsidRPr="005B30C1">
        <w:rPr>
          <w:lang w:val="el-GR"/>
        </w:rPr>
        <w:t xml:space="preserve"> </w:t>
      </w:r>
      <w:r>
        <w:t>simulation</w:t>
      </w:r>
      <w:r w:rsidRPr="005B30C1">
        <w:rPr>
          <w:lang w:val="el-GR"/>
        </w:rPr>
        <w:t>, ώστε η μεταβλητότητα και οι ακραίες αποδόσεις να ενσωματώνονται με πιο σύνθετο τρόπο.</w:t>
      </w:r>
    </w:p>
    <w:p w14:paraId="7A34950A" w14:textId="671D0462" w:rsidR="00FC097F" w:rsidRPr="005B30C1" w:rsidRDefault="00FC097F" w:rsidP="00FC097F">
      <w:pPr>
        <w:pStyle w:val="af"/>
        <w:rPr>
          <w:lang w:val="el-GR"/>
        </w:rPr>
      </w:pPr>
      <w:r w:rsidRPr="005B30C1">
        <w:rPr>
          <w:lang w:val="el-GR"/>
        </w:rPr>
        <w:t xml:space="preserve">Επιπλέον, θα είχε ενδιαφέρον να εξεταστεί η αποτελεσματικότητα διαφορετικών στρατηγικών αντιστάθμισης. Για παράδειγμα, θα μπορούσε να συγκριθεί σταθερός λόγος αντιστάθμισης με δυναμικό λόγο, ή να εξεταστεί αντιστάθμιση με </w:t>
      </w:r>
      <w:r>
        <w:t>options</w:t>
      </w:r>
      <w:r w:rsidRPr="005B30C1">
        <w:rPr>
          <w:lang w:val="el-GR"/>
        </w:rPr>
        <w:t xml:space="preserve"> αντί </w:t>
      </w:r>
      <w:r>
        <w:t>futures</w:t>
      </w:r>
      <w:r w:rsidRPr="005B30C1">
        <w:rPr>
          <w:lang w:val="el-GR"/>
        </w:rPr>
        <w:t xml:space="preserve">. Τα </w:t>
      </w:r>
      <w:r>
        <w:t>options</w:t>
      </w:r>
      <w:r w:rsidRPr="005B30C1">
        <w:rPr>
          <w:lang w:val="el-GR"/>
        </w:rPr>
        <w:t xml:space="preserve"> έχουν διαφορετική δομή κινδύνου, επειδή περιορίζουν την αρνητική έκθεση χωρίς να εξαλείφουν </w:t>
      </w:r>
      <w:r w:rsidRPr="005B30C1">
        <w:rPr>
          <w:lang w:val="el-GR"/>
        </w:rPr>
        <w:lastRenderedPageBreak/>
        <w:t xml:space="preserve">πλήρως την ανοδική συμμετοχή, αλλά συνεπάγονται κόστος ασφαλίστρου. Τέλος, η ενσωμάτωση κόστους συναλλαγών και απαιτήσεων </w:t>
      </w:r>
      <w:r w:rsidR="008F3516">
        <w:rPr>
          <w:lang w:val="el-GR"/>
        </w:rPr>
        <w:t>περιθωρίου</w:t>
      </w:r>
      <w:r w:rsidRPr="005B30C1">
        <w:rPr>
          <w:lang w:val="el-GR"/>
        </w:rPr>
        <w:t xml:space="preserve"> θα έκανε την ανάλυση πιο κοντά στην πραγματική επενδυτική πρακτική.</w:t>
      </w:r>
    </w:p>
    <w:p w14:paraId="4E46A6C1" w14:textId="77777777" w:rsidR="00FC097F" w:rsidRPr="005B30C1" w:rsidRDefault="00FC097F" w:rsidP="00321E2E">
      <w:pPr>
        <w:pStyle w:val="21"/>
        <w:rPr>
          <w:lang w:val="el-GR"/>
        </w:rPr>
      </w:pPr>
      <w:bookmarkStart w:id="84" w:name="_Toc232171103"/>
      <w:bookmarkStart w:id="85" w:name="τελικό-συμπέρασμα"/>
      <w:bookmarkEnd w:id="83"/>
      <w:r w:rsidRPr="005B30C1">
        <w:rPr>
          <w:rFonts w:eastAsia="Times New Roman"/>
          <w:lang w:val="el-GR"/>
        </w:rPr>
        <w:t>5.6 Τελικό συμπέρασμα</w:t>
      </w:r>
      <w:bookmarkEnd w:id="84"/>
    </w:p>
    <w:p w14:paraId="0778195A" w14:textId="77777777" w:rsidR="00FC097F" w:rsidRPr="005B30C1" w:rsidRDefault="00FC097F" w:rsidP="00FC097F">
      <w:pPr>
        <w:ind w:firstLine="357"/>
        <w:rPr>
          <w:lang w:val="el-GR"/>
        </w:rPr>
      </w:pPr>
      <w:r w:rsidRPr="005B30C1">
        <w:rPr>
          <w:lang w:val="el-GR"/>
        </w:rPr>
        <w:t xml:space="preserve">Το τελικό συμπέρασμα της εργασίας είναι ότι η μέτρηση κινδύνου αγοράς πρέπει να αντιμετωπίζεται ως δυναμική και ελεγχόμενη διαδικασία και όχι ως απλή παραγωγή αριθμών. Η </w:t>
      </w:r>
      <w:proofErr w:type="spellStart"/>
      <w:r>
        <w:t>VaR</w:t>
      </w:r>
      <w:proofErr w:type="spellEnd"/>
      <w:r w:rsidRPr="005B30C1">
        <w:rPr>
          <w:lang w:val="el-GR"/>
        </w:rPr>
        <w:t xml:space="preserve"> παρέχει ένα χρήσιμο και κατανοητό μέτρο δυνητικής ζημίας, αλλά η αξιοπιστία της πρέπει να ελέγχεται με </w:t>
      </w:r>
      <w:proofErr w:type="spellStart"/>
      <w:r>
        <w:t>backtesting</w:t>
      </w:r>
      <w:proofErr w:type="spellEnd"/>
      <w:r w:rsidRPr="005B30C1">
        <w:rPr>
          <w:lang w:val="el-GR"/>
        </w:rPr>
        <w:t xml:space="preserve">. Στο αρχικό χαρτοφυλάκιο, η </w:t>
      </w:r>
      <w:r>
        <w:t>EWMA</w:t>
      </w:r>
      <w:r w:rsidRPr="005B30C1">
        <w:rPr>
          <w:lang w:val="el-GR"/>
        </w:rPr>
        <w:t xml:space="preserve"> </w:t>
      </w:r>
      <w:proofErr w:type="spellStart"/>
      <w:r>
        <w:t>VaR</w:t>
      </w:r>
      <w:proofErr w:type="spellEnd"/>
      <w:r w:rsidRPr="005B30C1">
        <w:rPr>
          <w:lang w:val="el-GR"/>
        </w:rPr>
        <w:t xml:space="preserve"> απορρίφθηκε, ενώ η </w:t>
      </w:r>
      <w:r>
        <w:t>Historical</w:t>
      </w:r>
      <w:r w:rsidRPr="005B30C1">
        <w:rPr>
          <w:lang w:val="el-GR"/>
        </w:rPr>
        <w:t xml:space="preserve"> </w:t>
      </w:r>
      <w:proofErr w:type="spellStart"/>
      <w:r>
        <w:t>VaR</w:t>
      </w:r>
      <w:proofErr w:type="spellEnd"/>
      <w:r w:rsidRPr="005B30C1">
        <w:rPr>
          <w:lang w:val="el-GR"/>
        </w:rPr>
        <w:t xml:space="preserve"> εμφάνισε αποδεκτή ανεπιφύλακτη κάλυψη. Μετά την αντιστάθμιση με </w:t>
      </w:r>
      <w:r>
        <w:t>futures</w:t>
      </w:r>
      <w:r w:rsidRPr="005B30C1">
        <w:rPr>
          <w:lang w:val="el-GR"/>
        </w:rPr>
        <w:t xml:space="preserve">, η μεταβλητότητα και η </w:t>
      </w:r>
      <w:proofErr w:type="spellStart"/>
      <w:r>
        <w:t>VaR</w:t>
      </w:r>
      <w:proofErr w:type="spellEnd"/>
      <w:r w:rsidRPr="005B30C1">
        <w:rPr>
          <w:lang w:val="el-GR"/>
        </w:rPr>
        <w:t xml:space="preserve"> μειώθηκαν σημαντικά, όμως η </w:t>
      </w:r>
      <w:r>
        <w:t>EWMA</w:t>
      </w:r>
      <w:r w:rsidRPr="005B30C1">
        <w:rPr>
          <w:lang w:val="el-GR"/>
        </w:rPr>
        <w:t xml:space="preserve"> εξακολούθησε να απορρίπτεται. Το εύρημα αυτό δείχνει ότι η αντιστάθμιση μειώνει την έκθεση, αλλά δεν αντικαθιστά την ανάγκη στατιστικού ελέγχου.</w:t>
      </w:r>
    </w:p>
    <w:p w14:paraId="25714001" w14:textId="77777777" w:rsidR="00FC097F" w:rsidRPr="005B30C1" w:rsidRDefault="00FC097F" w:rsidP="00FC097F">
      <w:pPr>
        <w:pStyle w:val="af"/>
        <w:rPr>
          <w:lang w:val="el-GR"/>
        </w:rPr>
      </w:pPr>
      <w:r w:rsidRPr="005B30C1">
        <w:rPr>
          <w:lang w:val="el-GR"/>
        </w:rPr>
        <w:t>Η εργασία επομένως δείχνει ότι η διαχείριση κινδύνου έχει δύο διακριτές αλλά συνδεδεμένες πλευρές: τη μέτρηση και την απόφαση. Η μέτρηση αποκαλύπτει την έκθεση και ελέγχει την αξιοπιστία των μοντέλων. Η απόφαση, όπως η αντιστάθμιση, χρησιμοποιεί αυτή την πληροφορία για να μεταβάλει το προφίλ κινδύνου. Όταν οι δύο λειτουργίες συνεργάζονται χωρίς να συγχέονται, η διαχείριση κινδύνου μπορεί να συμβάλει ουσιαστικά στη σταθερότητα και στην ποιότητα των επενδυτικών αποφάσεων.</w:t>
      </w:r>
    </w:p>
    <w:p w14:paraId="04B12395" w14:textId="77777777" w:rsidR="00FC097F" w:rsidRPr="005B30C1" w:rsidRDefault="00FC097F" w:rsidP="00321E2E">
      <w:pPr>
        <w:pStyle w:val="21"/>
        <w:rPr>
          <w:lang w:val="el-GR"/>
        </w:rPr>
      </w:pPr>
      <w:bookmarkStart w:id="86" w:name="_Toc232171104"/>
      <w:bookmarkStart w:id="87" w:name="Xc67177b8cc996f6948e05805046c3b22d3cd976"/>
      <w:bookmarkEnd w:id="85"/>
      <w:r w:rsidRPr="005B30C1">
        <w:rPr>
          <w:rFonts w:eastAsia="Times New Roman"/>
          <w:lang w:val="el-GR"/>
        </w:rPr>
        <w:t>5.7 Τελική σύνδεση θεωρίας, μεθοδολογίας και αποτελεσμάτων</w:t>
      </w:r>
      <w:bookmarkEnd w:id="86"/>
    </w:p>
    <w:p w14:paraId="1AAECDF8" w14:textId="77777777" w:rsidR="00FC097F" w:rsidRPr="005B30C1" w:rsidRDefault="00FC097F" w:rsidP="00FC097F">
      <w:pPr>
        <w:ind w:firstLine="357"/>
        <w:rPr>
          <w:lang w:val="el-GR"/>
        </w:rPr>
      </w:pPr>
      <w:r w:rsidRPr="005B30C1">
        <w:rPr>
          <w:lang w:val="el-GR"/>
        </w:rPr>
        <w:t xml:space="preserve">Η τελική εικόνα της εργασίας είναι ότι η θεωρία, η μεθοδολογία και τα εμπειρικά αποτελέσματα λειτουργούν ως ενιαία αλυσίδα. Το πρώτο κεφάλαιο εξηγεί γιατί η διαχείριση κινδύνου απέκτησε κεντρική σημασία για το χρηματοπιστωτικό σύστημα, μέσα από ιστορικές αποτυχίες, κανονιστικές εξελίξεις και ανάγκη προστασίας της σταθερότητας. Το δεύτερο κεφάλαιο παρουσιάζει τα βασικά εργαλεία μέτρησης κινδύνου αγοράς και εξηγεί γιατί η </w:t>
      </w:r>
      <w:proofErr w:type="spellStart"/>
      <w:r>
        <w:t>VaR</w:t>
      </w:r>
      <w:proofErr w:type="spellEnd"/>
      <w:r w:rsidRPr="005B30C1">
        <w:rPr>
          <w:lang w:val="el-GR"/>
        </w:rPr>
        <w:t xml:space="preserve">, παρά τους περιορισμούς της, παραμένει χρήσιμο και εφαρμόσιμο μέτρο. Το τρίτο κεφάλαιο μετατρέπει τη θεωρία σε συγκεκριμένο ερευνητικό σχέδιο, με πραγματικά δεδομένα, σαφείς παραδοχές και </w:t>
      </w:r>
      <w:proofErr w:type="spellStart"/>
      <w:r w:rsidRPr="005B30C1">
        <w:rPr>
          <w:lang w:val="el-GR"/>
        </w:rPr>
        <w:t>αναπαραγώγιμους</w:t>
      </w:r>
      <w:proofErr w:type="spellEnd"/>
      <w:r w:rsidRPr="005B30C1">
        <w:rPr>
          <w:lang w:val="el-GR"/>
        </w:rPr>
        <w:t xml:space="preserve"> υπολογισμούς. Το τέταρτο κεφάλαιο δείχνει ότι τα μοντέλα πρέπει να κρίνονται από την εμπειρική τους συμπεριφορά, ενώ το πέμπτο κεφάλαιο συνοψίζει τη συμβολή και τους περιορισμούς της ανάλυσης.</w:t>
      </w:r>
    </w:p>
    <w:p w14:paraId="3F205778" w14:textId="77777777" w:rsidR="00FC097F" w:rsidRPr="005B30C1" w:rsidRDefault="00FC097F" w:rsidP="00FC097F">
      <w:pPr>
        <w:pStyle w:val="af"/>
        <w:rPr>
          <w:lang w:val="el-GR"/>
        </w:rPr>
      </w:pPr>
      <w:r w:rsidRPr="005B30C1">
        <w:rPr>
          <w:lang w:val="el-GR"/>
        </w:rPr>
        <w:lastRenderedPageBreak/>
        <w:t xml:space="preserve">Η σημαντικότερη παιδαγωγική αξία της εργασίας είναι ότι κάνει κατανοητή τη μετάβαση από τη μέτρηση στη δράση. Πρώτα αναγνωρίζεται το πρόβλημα: το αρχικό χαρτοφυλάκιο έχει ουσιαστική έκθεση στον κίνδυνο αγοράς και οι μέθοδοι </w:t>
      </w:r>
      <w:proofErr w:type="spellStart"/>
      <w:r>
        <w:t>VaR</w:t>
      </w:r>
      <w:proofErr w:type="spellEnd"/>
      <w:r w:rsidRPr="005B30C1">
        <w:rPr>
          <w:lang w:val="el-GR"/>
        </w:rPr>
        <w:t xml:space="preserve"> πρέπει να ελεγχθούν εμπειρικά. Έπειτα εξετάζεται μια πιθανή λύση: η αντιστάθμιση με </w:t>
      </w:r>
      <w:r>
        <w:t>futures</w:t>
      </w:r>
      <w:r w:rsidRPr="005B30C1">
        <w:rPr>
          <w:lang w:val="el-GR"/>
        </w:rPr>
        <w:t>. Τέλος, ελέγχεται αν η λύση αυτή βελτιώνει πραγματικά την εικόνα. Με τον τρόπο αυτό, η εργασία αποφεύγει να είναι απλώς θεωρητική περιγραφή ή απλώς υπολογιστική άσκηση. Παρουσιάζει μια ολοκληρωμένη διαδικασία χρηματοοικονομικής ανάλυσης.</w:t>
      </w:r>
    </w:p>
    <w:p w14:paraId="56C86F28" w14:textId="77777777" w:rsidR="00FC097F" w:rsidRPr="005B30C1" w:rsidRDefault="00FC097F" w:rsidP="00FC097F">
      <w:pPr>
        <w:pStyle w:val="af"/>
        <w:rPr>
          <w:lang w:val="el-GR"/>
        </w:rPr>
      </w:pPr>
      <w:r w:rsidRPr="005B30C1">
        <w:rPr>
          <w:lang w:val="el-GR"/>
        </w:rPr>
        <w:t xml:space="preserve">Το συμπέρασμα που προκύπτει είναι πρακτικό: η καλή διαχείριση κινδύνου απαιτεί αριθμούς, αλλά δεν εξαντλείται στους αριθμούς. Απαιτεί θεσμικό πλαίσιο, ανεξαρτησία ρόλων, σωστή ερμηνεία, περιοδικό έλεγχο και δυνατότητα διοικητικής παρέμβασης. Η </w:t>
      </w:r>
      <w:proofErr w:type="spellStart"/>
      <w:r>
        <w:t>VaR</w:t>
      </w:r>
      <w:proofErr w:type="spellEnd"/>
      <w:r w:rsidRPr="005B30C1">
        <w:rPr>
          <w:lang w:val="el-GR"/>
        </w:rPr>
        <w:t xml:space="preserve">, το </w:t>
      </w:r>
      <w:proofErr w:type="spellStart"/>
      <w:r>
        <w:t>backtesting</w:t>
      </w:r>
      <w:proofErr w:type="spellEnd"/>
      <w:r w:rsidRPr="005B30C1">
        <w:rPr>
          <w:lang w:val="el-GR"/>
        </w:rPr>
        <w:t xml:space="preserve"> και το </w:t>
      </w:r>
      <w:r>
        <w:t>hedging</w:t>
      </w:r>
      <w:r w:rsidRPr="005B30C1">
        <w:rPr>
          <w:lang w:val="el-GR"/>
        </w:rPr>
        <w:t xml:space="preserve"> είναι εργαλεία μέσα σε αυτή τη διαδικασία. Η αξία τους εξαρτάται από το αν χρησιμοποιούνται με συνέπεια και με επίγνωση των περιορισμών τους.</w:t>
      </w:r>
    </w:p>
    <w:p w14:paraId="625D4631" w14:textId="77777777" w:rsidR="00FC097F" w:rsidRDefault="00FC097F" w:rsidP="00FC097F">
      <w:pPr>
        <w:pStyle w:val="13"/>
        <w:pageBreakBefore/>
        <w:spacing w:after="120"/>
        <w:jc w:val="left"/>
      </w:pPr>
      <w:bookmarkStart w:id="88" w:name="βιβλιογραφία"/>
      <w:bookmarkEnd w:id="72"/>
      <w:bookmarkEnd w:id="87"/>
      <w:proofErr w:type="spellStart"/>
      <w:r>
        <w:rPr>
          <w:rFonts w:ascii="Times New Roman" w:eastAsia="Times New Roman" w:hAnsi="Times New Roman"/>
          <w:sz w:val="24"/>
        </w:rPr>
        <w:lastRenderedPageBreak/>
        <w:t>Βι</w:t>
      </w:r>
      <w:proofErr w:type="spellEnd"/>
      <w:r>
        <w:rPr>
          <w:rFonts w:ascii="Times New Roman" w:eastAsia="Times New Roman" w:hAnsi="Times New Roman"/>
          <w:sz w:val="24"/>
        </w:rPr>
        <w:t>βλιογραφία</w:t>
      </w:r>
    </w:p>
    <w:p w14:paraId="2F5ABEE3" w14:textId="77777777" w:rsidR="00FC097F" w:rsidRDefault="00FC097F" w:rsidP="00FC097F">
      <w:pPr>
        <w:pStyle w:val="af"/>
      </w:pPr>
      <w:r>
        <w:t>Alexander, C. (2008). Market Risk Analysis, Volume IV: Value-at-Risk Models. John Wiley &amp; Sons.</w:t>
      </w:r>
    </w:p>
    <w:p w14:paraId="4759D252" w14:textId="77777777" w:rsidR="00FC097F" w:rsidRDefault="00FC097F" w:rsidP="00FC097F">
      <w:pPr>
        <w:pStyle w:val="af"/>
      </w:pPr>
      <w:r>
        <w:t>Basel Committee on Banking Supervision. (1988). International Convergence of Capital Measurement and Capital Standards. Bank for International Settlements.</w:t>
      </w:r>
    </w:p>
    <w:p w14:paraId="5BE6750B" w14:textId="77777777" w:rsidR="00FC097F" w:rsidRDefault="00FC097F" w:rsidP="00FC097F">
      <w:pPr>
        <w:pStyle w:val="af"/>
      </w:pPr>
      <w:r>
        <w:t>Basel Committee on Banking Supervision. (1996). Amendment to the Capital Accord to Incorporate Market Risks. Bank for International Settlements.</w:t>
      </w:r>
    </w:p>
    <w:p w14:paraId="33251E5C" w14:textId="77777777" w:rsidR="00FC097F" w:rsidRDefault="00FC097F" w:rsidP="00FC097F">
      <w:pPr>
        <w:pStyle w:val="af"/>
      </w:pPr>
      <w:r>
        <w:t>Basel Committee on Banking Supervision. (2006). International Convergence of Capital Measurement and Capital Standards: A Revised Framework. Bank for International Settlements.</w:t>
      </w:r>
    </w:p>
    <w:p w14:paraId="320A7076" w14:textId="77777777" w:rsidR="00FC097F" w:rsidRDefault="00FC097F" w:rsidP="00FC097F">
      <w:pPr>
        <w:pStyle w:val="af"/>
      </w:pPr>
      <w:r>
        <w:t>Basel Committee on Banking Supervision. (2011). Basel III: A Global Regulatory Framework for More Resilient Banks and Banking Systems. Bank for International Settlements.</w:t>
      </w:r>
    </w:p>
    <w:p w14:paraId="55892BD1" w14:textId="77777777" w:rsidR="00FC097F" w:rsidRDefault="00FC097F" w:rsidP="00FC097F">
      <w:pPr>
        <w:pStyle w:val="af"/>
      </w:pPr>
      <w:r>
        <w:t xml:space="preserve">Basel Committee on Banking Supervision. (2017). Basel III: </w:t>
      </w:r>
      <w:proofErr w:type="spellStart"/>
      <w:r>
        <w:t>Finalising</w:t>
      </w:r>
      <w:proofErr w:type="spellEnd"/>
      <w:r>
        <w:t xml:space="preserve"> post-crisis reforms. Bank for International Settlements.</w:t>
      </w:r>
    </w:p>
    <w:p w14:paraId="0A62DFAC" w14:textId="77777777" w:rsidR="00FC097F" w:rsidRDefault="00FC097F" w:rsidP="00FC097F">
      <w:pPr>
        <w:pStyle w:val="af"/>
      </w:pPr>
      <w:r>
        <w:t>Basel Committee on Banking Supervision. (2019). Minimum Capital Requirements for Market Risk. Bank for International Settlements.</w:t>
      </w:r>
    </w:p>
    <w:p w14:paraId="0E2B8ECC" w14:textId="77777777" w:rsidR="00FC097F" w:rsidRDefault="00FC097F" w:rsidP="00FC097F">
      <w:pPr>
        <w:pStyle w:val="af"/>
      </w:pPr>
      <w:r>
        <w:t>Basel Committee on Banking Supervision. (2025). RCAP on timeliness: Basel III implementation dashboard. Bank for International Settlements.</w:t>
      </w:r>
    </w:p>
    <w:p w14:paraId="3811DC43" w14:textId="77777777" w:rsidR="00FC097F" w:rsidRDefault="00FC097F" w:rsidP="00FC097F">
      <w:pPr>
        <w:pStyle w:val="af"/>
      </w:pPr>
      <w:r>
        <w:t xml:space="preserve">Board of Governors of the Federal Reserve System. (2026). Agencies request </w:t>
      </w:r>
      <w:proofErr w:type="gramStart"/>
      <w:r>
        <w:t>comment</w:t>
      </w:r>
      <w:proofErr w:type="gramEnd"/>
      <w:r>
        <w:t xml:space="preserve"> on proposals to modernize the regulatory capital framework for banks of all sizes. Federal Reserve.</w:t>
      </w:r>
    </w:p>
    <w:p w14:paraId="203BBA01" w14:textId="77777777" w:rsidR="00FC097F" w:rsidRDefault="00FC097F" w:rsidP="00FC097F">
      <w:pPr>
        <w:pStyle w:val="af"/>
      </w:pPr>
      <w:r>
        <w:t>Christoffersen, P. F. (2003). Elements of Financial Risk Management. Academic Press.</w:t>
      </w:r>
    </w:p>
    <w:p w14:paraId="2E5B6CAA" w14:textId="77777777" w:rsidR="00FC097F" w:rsidRDefault="00FC097F" w:rsidP="00FC097F">
      <w:pPr>
        <w:pStyle w:val="af"/>
      </w:pPr>
      <w:r>
        <w:t>Duffie, D., &amp; Pan, J. (1997). An overview of value at risk. Journal of Derivatives, 4(3), 7-49.</w:t>
      </w:r>
    </w:p>
    <w:p w14:paraId="0464875C" w14:textId="77777777" w:rsidR="00FC097F" w:rsidRDefault="00FC097F" w:rsidP="00FC097F">
      <w:pPr>
        <w:pStyle w:val="af"/>
      </w:pPr>
      <w:r>
        <w:t>European Banking Authority. (2025). CRR3/CRD6 dashboard. European Banking Authority.</w:t>
      </w:r>
    </w:p>
    <w:p w14:paraId="1FA9807B" w14:textId="77777777" w:rsidR="00FC097F" w:rsidRDefault="00FC097F" w:rsidP="00FC097F">
      <w:pPr>
        <w:pStyle w:val="af"/>
      </w:pPr>
      <w:r>
        <w:t>Hendricks, D. (1996). Evaluation of value-at-risk models using historical data. Economic Policy Review, 2(1), 39-69.</w:t>
      </w:r>
    </w:p>
    <w:p w14:paraId="44B2C108" w14:textId="77777777" w:rsidR="00FC097F" w:rsidRDefault="00FC097F" w:rsidP="00FC097F">
      <w:pPr>
        <w:pStyle w:val="af"/>
      </w:pPr>
      <w:r>
        <w:t>Hull, J. C. (2018). Options, Futures, and Other Derivatives (10th ed.). Pearson.</w:t>
      </w:r>
    </w:p>
    <w:p w14:paraId="18A41B49" w14:textId="77777777" w:rsidR="00FC097F" w:rsidRDefault="00FC097F" w:rsidP="00FC097F">
      <w:pPr>
        <w:pStyle w:val="af"/>
      </w:pPr>
      <w:proofErr w:type="spellStart"/>
      <w:r>
        <w:t>Jorion</w:t>
      </w:r>
      <w:proofErr w:type="spellEnd"/>
      <w:r>
        <w:t>, P. (2007). Value at Risk: The New Benchmark for Managing Financial Risk (3rd ed.). McGraw-Hill.</w:t>
      </w:r>
    </w:p>
    <w:bookmarkEnd w:id="88"/>
    <w:p w14:paraId="6AB78F04" w14:textId="77777777" w:rsidR="00FC097F" w:rsidRDefault="00FC097F" w:rsidP="00FC097F">
      <w:pPr>
        <w:pStyle w:val="af"/>
      </w:pPr>
      <w:r>
        <w:lastRenderedPageBreak/>
        <w:t>Kupiec, P. H. (1995). Techniques for verifying the accuracy of risk measurement models. Journal of Derivatives, 3(2), 73–84.</w:t>
      </w:r>
    </w:p>
    <w:p w14:paraId="1EF681F1" w14:textId="77777777" w:rsidR="00FC097F" w:rsidRDefault="00FC097F" w:rsidP="00FC097F">
      <w:pPr>
        <w:pStyle w:val="af"/>
      </w:pPr>
      <w:r>
        <w:t>Malz, A. M. (2011). Financial Risk Management: Models, History, and Institutions. John Wiley &amp; Sons.</w:t>
      </w:r>
    </w:p>
    <w:p w14:paraId="71E3CD32" w14:textId="77777777" w:rsidR="00FC097F" w:rsidRDefault="00FC097F" w:rsidP="00FC097F">
      <w:pPr>
        <w:pStyle w:val="af"/>
      </w:pPr>
      <w:proofErr w:type="spellStart"/>
      <w:r>
        <w:t>RiskMetrics</w:t>
      </w:r>
      <w:proofErr w:type="spellEnd"/>
      <w:r>
        <w:t xml:space="preserve"> Group. (1996). </w:t>
      </w:r>
      <w:proofErr w:type="spellStart"/>
      <w:r>
        <w:t>RiskMetrics</w:t>
      </w:r>
      <w:proofErr w:type="spellEnd"/>
      <w:r>
        <w:t xml:space="preserve"> Technical Document (4th ed.). J.P. Morgan/Reuters.</w:t>
      </w:r>
    </w:p>
    <w:p w14:paraId="4B43DE6A" w14:textId="77777777" w:rsidR="00FC097F" w:rsidRDefault="00FC097F" w:rsidP="00FC097F">
      <w:pPr>
        <w:pStyle w:val="af"/>
      </w:pPr>
      <w:r>
        <w:t>Stulz, R. M. (1996). Rethinking risk management. Journal of Applied Corporate Finance, 9(3), 8-24.</w:t>
      </w:r>
    </w:p>
    <w:p w14:paraId="05B86E0A" w14:textId="77777777" w:rsidR="00FC097F" w:rsidRDefault="00FC097F" w:rsidP="00FC097F"/>
    <w:p w14:paraId="0F622DD5" w14:textId="77777777" w:rsidR="00FC097F" w:rsidRDefault="00FC097F" w:rsidP="00FC097F"/>
    <w:p w14:paraId="448500B2" w14:textId="77777777" w:rsidR="004F4EC4" w:rsidRDefault="004F4EC4"/>
    <w:sectPr w:rsidR="004F4EC4" w:rsidSect="000B0BEC">
      <w:footerReference w:type="first" r:id="rId16"/>
      <w:pgSz w:w="12240" w:h="15840"/>
      <w:pgMar w:top="1134" w:right="1134" w:bottom="1134" w:left="198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5B715" w14:textId="77777777" w:rsidR="00B06BF3" w:rsidRDefault="00B06BF3">
      <w:pPr>
        <w:spacing w:after="0" w:line="240" w:lineRule="auto"/>
      </w:pPr>
      <w:r>
        <w:separator/>
      </w:r>
    </w:p>
  </w:endnote>
  <w:endnote w:type="continuationSeparator" w:id="0">
    <w:p w14:paraId="00247EAE" w14:textId="77777777" w:rsidR="00B06BF3" w:rsidRDefault="00B06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auto"/>
    <w:notTrueType/>
    <w:pitch w:val="variable"/>
    <w:sig w:usb0="00000003" w:usb1="00000000" w:usb2="00000000" w:usb3="00000000" w:csb0="00000001"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8BE7" w14:textId="77777777" w:rsidR="00FC097F" w:rsidRDefault="00FC097F">
    <w:pPr>
      <w:pStyle w:val="ad"/>
      <w:jc w:val="right"/>
    </w:pP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487137"/>
      <w:docPartObj>
        <w:docPartGallery w:val="Page Numbers (Bottom of Page)"/>
        <w:docPartUnique/>
      </w:docPartObj>
    </w:sdtPr>
    <w:sdtEndPr/>
    <w:sdtContent>
      <w:p w14:paraId="6B23FACA" w14:textId="5B673B40" w:rsidR="00707333" w:rsidRDefault="00707333">
        <w:pPr>
          <w:pStyle w:val="ad"/>
          <w:jc w:val="right"/>
        </w:pPr>
        <w:r>
          <w:fldChar w:fldCharType="begin"/>
        </w:r>
        <w:r>
          <w:instrText>PAGE   \* MERGEFORMAT</w:instrText>
        </w:r>
        <w:r>
          <w:fldChar w:fldCharType="separate"/>
        </w:r>
        <w:r>
          <w:rPr>
            <w:lang w:val="el-GR"/>
          </w:rPr>
          <w:t>2</w:t>
        </w:r>
        <w:r>
          <w:fldChar w:fldCharType="end"/>
        </w:r>
      </w:p>
    </w:sdtContent>
  </w:sdt>
  <w:p w14:paraId="7A29DC3F" w14:textId="77777777" w:rsidR="00707333" w:rsidRDefault="00707333">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540662"/>
      <w:docPartObj>
        <w:docPartGallery w:val="Page Numbers (Bottom of Page)"/>
        <w:docPartUnique/>
      </w:docPartObj>
    </w:sdtPr>
    <w:sdtEndPr/>
    <w:sdtContent>
      <w:p w14:paraId="212D719C" w14:textId="01946727" w:rsidR="000B0BEC" w:rsidRDefault="000B0BEC">
        <w:pPr>
          <w:pStyle w:val="ad"/>
          <w:jc w:val="right"/>
        </w:pPr>
        <w:r>
          <w:fldChar w:fldCharType="begin"/>
        </w:r>
        <w:r>
          <w:instrText>PAGE   \* MERGEFORMAT</w:instrText>
        </w:r>
        <w:r>
          <w:fldChar w:fldCharType="separate"/>
        </w:r>
        <w:r>
          <w:rPr>
            <w:lang w:val="el-GR"/>
          </w:rPr>
          <w:t>2</w:t>
        </w:r>
        <w:r>
          <w:fldChar w:fldCharType="end"/>
        </w:r>
      </w:p>
    </w:sdtContent>
  </w:sdt>
  <w:p w14:paraId="06F4ED98" w14:textId="77777777" w:rsidR="000B0BEC" w:rsidRDefault="000B0BE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F518F" w14:textId="77777777" w:rsidR="00B06BF3" w:rsidRDefault="00B06BF3">
      <w:pPr>
        <w:spacing w:after="0" w:line="240" w:lineRule="auto"/>
      </w:pPr>
      <w:r>
        <w:separator/>
      </w:r>
    </w:p>
  </w:footnote>
  <w:footnote w:type="continuationSeparator" w:id="0">
    <w:p w14:paraId="5BBDB607" w14:textId="77777777" w:rsidR="00B06BF3" w:rsidRDefault="00B06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DEC26E3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811170179">
    <w:abstractNumId w:val="8"/>
  </w:num>
  <w:num w:numId="2" w16cid:durableId="422456586">
    <w:abstractNumId w:val="6"/>
  </w:num>
  <w:num w:numId="3" w16cid:durableId="1940480886">
    <w:abstractNumId w:val="5"/>
  </w:num>
  <w:num w:numId="4" w16cid:durableId="1285575161">
    <w:abstractNumId w:val="4"/>
  </w:num>
  <w:num w:numId="5" w16cid:durableId="936599238">
    <w:abstractNumId w:val="7"/>
  </w:num>
  <w:num w:numId="6" w16cid:durableId="1797790516">
    <w:abstractNumId w:val="3"/>
  </w:num>
  <w:num w:numId="7" w16cid:durableId="377902944">
    <w:abstractNumId w:val="2"/>
  </w:num>
  <w:num w:numId="8" w16cid:durableId="832138535">
    <w:abstractNumId w:val="1"/>
  </w:num>
  <w:num w:numId="9" w16cid:durableId="1174028601">
    <w:abstractNumId w:val="0"/>
  </w:num>
  <w:num w:numId="10" w16cid:durableId="13093605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97F"/>
    <w:rsid w:val="00070F75"/>
    <w:rsid w:val="000918E9"/>
    <w:rsid w:val="000B0BEC"/>
    <w:rsid w:val="000B651E"/>
    <w:rsid w:val="000D6D82"/>
    <w:rsid w:val="001002F4"/>
    <w:rsid w:val="00111A73"/>
    <w:rsid w:val="001158C2"/>
    <w:rsid w:val="0013030A"/>
    <w:rsid w:val="0015615E"/>
    <w:rsid w:val="001725D7"/>
    <w:rsid w:val="001B097F"/>
    <w:rsid w:val="00221073"/>
    <w:rsid w:val="002455D5"/>
    <w:rsid w:val="00251A57"/>
    <w:rsid w:val="00272D66"/>
    <w:rsid w:val="00277433"/>
    <w:rsid w:val="00290469"/>
    <w:rsid w:val="002A1ED2"/>
    <w:rsid w:val="002B262A"/>
    <w:rsid w:val="002D3996"/>
    <w:rsid w:val="002F2923"/>
    <w:rsid w:val="00302C15"/>
    <w:rsid w:val="00321E2E"/>
    <w:rsid w:val="00390927"/>
    <w:rsid w:val="003F49FE"/>
    <w:rsid w:val="00487054"/>
    <w:rsid w:val="004924BA"/>
    <w:rsid w:val="004B0046"/>
    <w:rsid w:val="004E1146"/>
    <w:rsid w:val="004F4EC4"/>
    <w:rsid w:val="0053776F"/>
    <w:rsid w:val="00575C16"/>
    <w:rsid w:val="005C5CA3"/>
    <w:rsid w:val="005D39BF"/>
    <w:rsid w:val="00603D50"/>
    <w:rsid w:val="00613771"/>
    <w:rsid w:val="00623296"/>
    <w:rsid w:val="006729A2"/>
    <w:rsid w:val="006B4277"/>
    <w:rsid w:val="006D6C06"/>
    <w:rsid w:val="006F18C7"/>
    <w:rsid w:val="006F52EF"/>
    <w:rsid w:val="00707333"/>
    <w:rsid w:val="007E53FA"/>
    <w:rsid w:val="00821C7B"/>
    <w:rsid w:val="008E27FE"/>
    <w:rsid w:val="008F3516"/>
    <w:rsid w:val="009A57EC"/>
    <w:rsid w:val="009B512D"/>
    <w:rsid w:val="009D258B"/>
    <w:rsid w:val="009D5736"/>
    <w:rsid w:val="009E5E63"/>
    <w:rsid w:val="009E70CD"/>
    <w:rsid w:val="009F5C2F"/>
    <w:rsid w:val="00A212A8"/>
    <w:rsid w:val="00AE6E34"/>
    <w:rsid w:val="00AF3BEE"/>
    <w:rsid w:val="00B02673"/>
    <w:rsid w:val="00B06BF3"/>
    <w:rsid w:val="00BF0005"/>
    <w:rsid w:val="00C93691"/>
    <w:rsid w:val="00CF4ED3"/>
    <w:rsid w:val="00D32B37"/>
    <w:rsid w:val="00D4090F"/>
    <w:rsid w:val="00D465F0"/>
    <w:rsid w:val="00D6683B"/>
    <w:rsid w:val="00DA12CE"/>
    <w:rsid w:val="00DC7EB8"/>
    <w:rsid w:val="00DD7030"/>
    <w:rsid w:val="00E603A7"/>
    <w:rsid w:val="00E73595"/>
    <w:rsid w:val="00E76319"/>
    <w:rsid w:val="00EB430B"/>
    <w:rsid w:val="00ED67BB"/>
    <w:rsid w:val="00EE2F55"/>
    <w:rsid w:val="00EE42D6"/>
    <w:rsid w:val="00F21BD3"/>
    <w:rsid w:val="00F42479"/>
    <w:rsid w:val="00FC09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5AA68"/>
  <w15:chartTrackingRefBased/>
  <w15:docId w15:val="{331999E1-B670-46B8-8BE9-8387ECF8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097F"/>
    <w:pPr>
      <w:spacing w:after="120" w:line="360" w:lineRule="auto"/>
      <w:jc w:val="both"/>
    </w:pPr>
    <w:rPr>
      <w:rFonts w:ascii="Times New Roman" w:eastAsia="Times New Roman" w:hAnsi="Times New Roman"/>
      <w:kern w:val="0"/>
      <w:sz w:val="24"/>
      <w:lang w:val="en-US"/>
      <w14:ligatures w14:val="none"/>
    </w:rPr>
  </w:style>
  <w:style w:type="paragraph" w:styleId="1">
    <w:name w:val="heading 1"/>
    <w:basedOn w:val="a1"/>
    <w:next w:val="a1"/>
    <w:link w:val="1Char"/>
    <w:uiPriority w:val="9"/>
    <w:qFormat/>
    <w:rsid w:val="00FC0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1">
    <w:name w:val="heading 2"/>
    <w:basedOn w:val="a1"/>
    <w:next w:val="a1"/>
    <w:link w:val="2Char"/>
    <w:uiPriority w:val="9"/>
    <w:unhideWhenUsed/>
    <w:qFormat/>
    <w:rsid w:val="00FC0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1">
    <w:name w:val="heading 3"/>
    <w:basedOn w:val="a1"/>
    <w:next w:val="a1"/>
    <w:link w:val="3Char"/>
    <w:uiPriority w:val="9"/>
    <w:unhideWhenUsed/>
    <w:qFormat/>
    <w:rsid w:val="00FC097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1"/>
    <w:next w:val="a1"/>
    <w:link w:val="4Char"/>
    <w:uiPriority w:val="9"/>
    <w:semiHidden/>
    <w:unhideWhenUsed/>
    <w:qFormat/>
    <w:rsid w:val="00FC097F"/>
    <w:pPr>
      <w:keepNext/>
      <w:keepLines/>
      <w:spacing w:before="80" w:after="40"/>
      <w:outlineLvl w:val="3"/>
    </w:pPr>
    <w:rPr>
      <w:rFonts w:eastAsiaTheme="majorEastAsia" w:cstheme="majorBidi"/>
      <w:i/>
      <w:iCs/>
      <w:color w:val="0F4761" w:themeColor="accent1" w:themeShade="BF"/>
    </w:rPr>
  </w:style>
  <w:style w:type="paragraph" w:styleId="5">
    <w:name w:val="heading 5"/>
    <w:basedOn w:val="a1"/>
    <w:next w:val="a1"/>
    <w:link w:val="5Char"/>
    <w:uiPriority w:val="9"/>
    <w:semiHidden/>
    <w:unhideWhenUsed/>
    <w:qFormat/>
    <w:rsid w:val="00FC097F"/>
    <w:pPr>
      <w:keepNext/>
      <w:keepLines/>
      <w:spacing w:before="80" w:after="40"/>
      <w:outlineLvl w:val="4"/>
    </w:pPr>
    <w:rPr>
      <w:rFonts w:eastAsiaTheme="majorEastAsia" w:cstheme="majorBidi"/>
      <w:color w:val="0F4761" w:themeColor="accent1" w:themeShade="BF"/>
    </w:rPr>
  </w:style>
  <w:style w:type="paragraph" w:styleId="6">
    <w:name w:val="heading 6"/>
    <w:basedOn w:val="a1"/>
    <w:next w:val="a1"/>
    <w:link w:val="6Char"/>
    <w:uiPriority w:val="9"/>
    <w:semiHidden/>
    <w:unhideWhenUsed/>
    <w:qFormat/>
    <w:rsid w:val="00FC097F"/>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Char"/>
    <w:uiPriority w:val="9"/>
    <w:semiHidden/>
    <w:unhideWhenUsed/>
    <w:qFormat/>
    <w:rsid w:val="00FC097F"/>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Char"/>
    <w:uiPriority w:val="9"/>
    <w:semiHidden/>
    <w:unhideWhenUsed/>
    <w:qFormat/>
    <w:rsid w:val="00FC097F"/>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Char"/>
    <w:uiPriority w:val="9"/>
    <w:semiHidden/>
    <w:unhideWhenUsed/>
    <w:qFormat/>
    <w:rsid w:val="00FC097F"/>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basedOn w:val="a2"/>
    <w:link w:val="1"/>
    <w:uiPriority w:val="9"/>
    <w:rsid w:val="00FC097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2"/>
    <w:link w:val="21"/>
    <w:uiPriority w:val="9"/>
    <w:rsid w:val="00FC097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2"/>
    <w:link w:val="31"/>
    <w:uiPriority w:val="9"/>
    <w:rsid w:val="00FC097F"/>
    <w:rPr>
      <w:rFonts w:eastAsiaTheme="majorEastAsia" w:cstheme="majorBidi"/>
      <w:color w:val="0F4761" w:themeColor="accent1" w:themeShade="BF"/>
      <w:sz w:val="28"/>
      <w:szCs w:val="28"/>
    </w:rPr>
  </w:style>
  <w:style w:type="character" w:customStyle="1" w:styleId="4Char">
    <w:name w:val="Επικεφαλίδα 4 Char"/>
    <w:basedOn w:val="a2"/>
    <w:link w:val="4"/>
    <w:uiPriority w:val="9"/>
    <w:semiHidden/>
    <w:rsid w:val="00FC097F"/>
    <w:rPr>
      <w:rFonts w:eastAsiaTheme="majorEastAsia" w:cstheme="majorBidi"/>
      <w:i/>
      <w:iCs/>
      <w:color w:val="0F4761" w:themeColor="accent1" w:themeShade="BF"/>
    </w:rPr>
  </w:style>
  <w:style w:type="character" w:customStyle="1" w:styleId="5Char">
    <w:name w:val="Επικεφαλίδα 5 Char"/>
    <w:basedOn w:val="a2"/>
    <w:link w:val="5"/>
    <w:uiPriority w:val="9"/>
    <w:semiHidden/>
    <w:rsid w:val="00FC097F"/>
    <w:rPr>
      <w:rFonts w:eastAsiaTheme="majorEastAsia" w:cstheme="majorBidi"/>
      <w:color w:val="0F4761" w:themeColor="accent1" w:themeShade="BF"/>
    </w:rPr>
  </w:style>
  <w:style w:type="character" w:customStyle="1" w:styleId="6Char">
    <w:name w:val="Επικεφαλίδα 6 Char"/>
    <w:basedOn w:val="a2"/>
    <w:link w:val="6"/>
    <w:uiPriority w:val="9"/>
    <w:semiHidden/>
    <w:rsid w:val="00FC097F"/>
    <w:rPr>
      <w:rFonts w:eastAsiaTheme="majorEastAsia" w:cstheme="majorBidi"/>
      <w:i/>
      <w:iCs/>
      <w:color w:val="595959" w:themeColor="text1" w:themeTint="A6"/>
    </w:rPr>
  </w:style>
  <w:style w:type="character" w:customStyle="1" w:styleId="7Char">
    <w:name w:val="Επικεφαλίδα 7 Char"/>
    <w:basedOn w:val="a2"/>
    <w:link w:val="7"/>
    <w:uiPriority w:val="9"/>
    <w:semiHidden/>
    <w:rsid w:val="00FC097F"/>
    <w:rPr>
      <w:rFonts w:eastAsiaTheme="majorEastAsia" w:cstheme="majorBidi"/>
      <w:color w:val="595959" w:themeColor="text1" w:themeTint="A6"/>
    </w:rPr>
  </w:style>
  <w:style w:type="character" w:customStyle="1" w:styleId="8Char">
    <w:name w:val="Επικεφαλίδα 8 Char"/>
    <w:basedOn w:val="a2"/>
    <w:link w:val="8"/>
    <w:uiPriority w:val="9"/>
    <w:semiHidden/>
    <w:rsid w:val="00FC097F"/>
    <w:rPr>
      <w:rFonts w:eastAsiaTheme="majorEastAsia" w:cstheme="majorBidi"/>
      <w:i/>
      <w:iCs/>
      <w:color w:val="272727" w:themeColor="text1" w:themeTint="D8"/>
    </w:rPr>
  </w:style>
  <w:style w:type="character" w:customStyle="1" w:styleId="9Char">
    <w:name w:val="Επικεφαλίδα 9 Char"/>
    <w:basedOn w:val="a2"/>
    <w:link w:val="9"/>
    <w:uiPriority w:val="9"/>
    <w:semiHidden/>
    <w:rsid w:val="00FC097F"/>
    <w:rPr>
      <w:rFonts w:eastAsiaTheme="majorEastAsia" w:cstheme="majorBidi"/>
      <w:color w:val="272727" w:themeColor="text1" w:themeTint="D8"/>
    </w:rPr>
  </w:style>
  <w:style w:type="paragraph" w:styleId="a5">
    <w:name w:val="Title"/>
    <w:basedOn w:val="a1"/>
    <w:next w:val="a1"/>
    <w:link w:val="Char"/>
    <w:uiPriority w:val="10"/>
    <w:qFormat/>
    <w:rsid w:val="00FC0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2"/>
    <w:link w:val="a5"/>
    <w:uiPriority w:val="10"/>
    <w:rsid w:val="00FC097F"/>
    <w:rPr>
      <w:rFonts w:asciiTheme="majorHAnsi" w:eastAsiaTheme="majorEastAsia" w:hAnsiTheme="majorHAnsi" w:cstheme="majorBidi"/>
      <w:spacing w:val="-10"/>
      <w:kern w:val="28"/>
      <w:sz w:val="56"/>
      <w:szCs w:val="56"/>
    </w:rPr>
  </w:style>
  <w:style w:type="paragraph" w:styleId="a6">
    <w:name w:val="Subtitle"/>
    <w:basedOn w:val="a1"/>
    <w:next w:val="a1"/>
    <w:link w:val="Char0"/>
    <w:uiPriority w:val="11"/>
    <w:qFormat/>
    <w:rsid w:val="00FC097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2"/>
    <w:link w:val="a6"/>
    <w:uiPriority w:val="11"/>
    <w:rsid w:val="00FC097F"/>
    <w:rPr>
      <w:rFonts w:eastAsiaTheme="majorEastAsia" w:cstheme="majorBidi"/>
      <w:color w:val="595959" w:themeColor="text1" w:themeTint="A6"/>
      <w:spacing w:val="15"/>
      <w:sz w:val="28"/>
      <w:szCs w:val="28"/>
    </w:rPr>
  </w:style>
  <w:style w:type="paragraph" w:styleId="a7">
    <w:name w:val="Quote"/>
    <w:basedOn w:val="a1"/>
    <w:next w:val="a1"/>
    <w:link w:val="Char1"/>
    <w:uiPriority w:val="29"/>
    <w:qFormat/>
    <w:rsid w:val="00FC097F"/>
    <w:pPr>
      <w:spacing w:before="160"/>
      <w:jc w:val="center"/>
    </w:pPr>
    <w:rPr>
      <w:i/>
      <w:iCs/>
      <w:color w:val="404040" w:themeColor="text1" w:themeTint="BF"/>
    </w:rPr>
  </w:style>
  <w:style w:type="character" w:customStyle="1" w:styleId="Char1">
    <w:name w:val="Απόσπασμα Char"/>
    <w:basedOn w:val="a2"/>
    <w:link w:val="a7"/>
    <w:uiPriority w:val="29"/>
    <w:rsid w:val="00FC097F"/>
    <w:rPr>
      <w:i/>
      <w:iCs/>
      <w:color w:val="404040" w:themeColor="text1" w:themeTint="BF"/>
    </w:rPr>
  </w:style>
  <w:style w:type="paragraph" w:styleId="a8">
    <w:name w:val="List Paragraph"/>
    <w:basedOn w:val="a1"/>
    <w:uiPriority w:val="34"/>
    <w:qFormat/>
    <w:rsid w:val="00FC097F"/>
    <w:pPr>
      <w:ind w:left="720"/>
      <w:contextualSpacing/>
    </w:pPr>
  </w:style>
  <w:style w:type="character" w:styleId="a9">
    <w:name w:val="Intense Emphasis"/>
    <w:basedOn w:val="a2"/>
    <w:uiPriority w:val="21"/>
    <w:qFormat/>
    <w:rsid w:val="00FC097F"/>
    <w:rPr>
      <w:i/>
      <w:iCs/>
      <w:color w:val="0F4761" w:themeColor="accent1" w:themeShade="BF"/>
    </w:rPr>
  </w:style>
  <w:style w:type="paragraph" w:styleId="aa">
    <w:name w:val="Intense Quote"/>
    <w:basedOn w:val="a1"/>
    <w:next w:val="a1"/>
    <w:link w:val="Char2"/>
    <w:uiPriority w:val="30"/>
    <w:qFormat/>
    <w:rsid w:val="00FC0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2"/>
    <w:link w:val="aa"/>
    <w:uiPriority w:val="30"/>
    <w:rsid w:val="00FC097F"/>
    <w:rPr>
      <w:i/>
      <w:iCs/>
      <w:color w:val="0F4761" w:themeColor="accent1" w:themeShade="BF"/>
    </w:rPr>
  </w:style>
  <w:style w:type="character" w:styleId="ab">
    <w:name w:val="Intense Reference"/>
    <w:basedOn w:val="a2"/>
    <w:uiPriority w:val="32"/>
    <w:qFormat/>
    <w:rsid w:val="00FC097F"/>
    <w:rPr>
      <w:b/>
      <w:bCs/>
      <w:smallCaps/>
      <w:color w:val="0F4761" w:themeColor="accent1" w:themeShade="BF"/>
      <w:spacing w:val="5"/>
    </w:rPr>
  </w:style>
  <w:style w:type="paragraph" w:styleId="ac">
    <w:name w:val="header"/>
    <w:basedOn w:val="a1"/>
    <w:link w:val="Char3"/>
    <w:uiPriority w:val="99"/>
    <w:unhideWhenUsed/>
    <w:rsid w:val="00FC097F"/>
    <w:pPr>
      <w:tabs>
        <w:tab w:val="center" w:pos="4680"/>
        <w:tab w:val="right" w:pos="9360"/>
      </w:tabs>
      <w:spacing w:after="0" w:line="240" w:lineRule="auto"/>
    </w:pPr>
  </w:style>
  <w:style w:type="character" w:customStyle="1" w:styleId="Char3">
    <w:name w:val="Κεφαλίδα Char"/>
    <w:basedOn w:val="a2"/>
    <w:link w:val="ac"/>
    <w:uiPriority w:val="99"/>
    <w:rsid w:val="00FC097F"/>
    <w:rPr>
      <w:rFonts w:ascii="Times New Roman" w:eastAsia="Times New Roman" w:hAnsi="Times New Roman"/>
      <w:kern w:val="0"/>
      <w:sz w:val="24"/>
      <w:lang w:val="en-US"/>
      <w14:ligatures w14:val="none"/>
    </w:rPr>
  </w:style>
  <w:style w:type="paragraph" w:styleId="ad">
    <w:name w:val="footer"/>
    <w:basedOn w:val="a1"/>
    <w:link w:val="Char4"/>
    <w:uiPriority w:val="99"/>
    <w:unhideWhenUsed/>
    <w:rsid w:val="00FC097F"/>
    <w:pPr>
      <w:tabs>
        <w:tab w:val="center" w:pos="4680"/>
        <w:tab w:val="right" w:pos="9360"/>
      </w:tabs>
      <w:spacing w:after="0" w:line="240" w:lineRule="auto"/>
    </w:pPr>
  </w:style>
  <w:style w:type="character" w:customStyle="1" w:styleId="Char4">
    <w:name w:val="Υποσέλιδο Char"/>
    <w:basedOn w:val="a2"/>
    <w:link w:val="ad"/>
    <w:uiPriority w:val="99"/>
    <w:rsid w:val="00FC097F"/>
    <w:rPr>
      <w:rFonts w:ascii="Times New Roman" w:eastAsia="Times New Roman" w:hAnsi="Times New Roman"/>
      <w:kern w:val="0"/>
      <w:sz w:val="24"/>
      <w:lang w:val="en-US"/>
      <w14:ligatures w14:val="none"/>
    </w:rPr>
  </w:style>
  <w:style w:type="paragraph" w:styleId="ae">
    <w:name w:val="No Spacing"/>
    <w:uiPriority w:val="1"/>
    <w:qFormat/>
    <w:rsid w:val="00FC097F"/>
    <w:pPr>
      <w:spacing w:after="0" w:line="240" w:lineRule="auto"/>
    </w:pPr>
    <w:rPr>
      <w:rFonts w:eastAsiaTheme="minorEastAsia"/>
      <w:kern w:val="0"/>
      <w:lang w:val="en-US"/>
      <w14:ligatures w14:val="none"/>
    </w:rPr>
  </w:style>
  <w:style w:type="paragraph" w:styleId="af">
    <w:name w:val="Body Text"/>
    <w:basedOn w:val="a1"/>
    <w:link w:val="Char5"/>
    <w:uiPriority w:val="99"/>
    <w:unhideWhenUsed/>
    <w:rsid w:val="00FC097F"/>
  </w:style>
  <w:style w:type="character" w:customStyle="1" w:styleId="Char5">
    <w:name w:val="Σώμα κειμένου Char"/>
    <w:basedOn w:val="a2"/>
    <w:link w:val="af"/>
    <w:uiPriority w:val="99"/>
    <w:rsid w:val="00FC097F"/>
    <w:rPr>
      <w:rFonts w:ascii="Times New Roman" w:eastAsia="Times New Roman" w:hAnsi="Times New Roman"/>
      <w:kern w:val="0"/>
      <w:sz w:val="24"/>
      <w:lang w:val="en-US"/>
      <w14:ligatures w14:val="none"/>
    </w:rPr>
  </w:style>
  <w:style w:type="paragraph" w:styleId="22">
    <w:name w:val="Body Text 2"/>
    <w:basedOn w:val="a1"/>
    <w:link w:val="2Char0"/>
    <w:uiPriority w:val="99"/>
    <w:unhideWhenUsed/>
    <w:rsid w:val="00FC097F"/>
    <w:pPr>
      <w:spacing w:line="480" w:lineRule="auto"/>
    </w:pPr>
  </w:style>
  <w:style w:type="character" w:customStyle="1" w:styleId="2Char0">
    <w:name w:val="Σώμα κείμενου 2 Char"/>
    <w:basedOn w:val="a2"/>
    <w:link w:val="22"/>
    <w:uiPriority w:val="99"/>
    <w:rsid w:val="00FC097F"/>
    <w:rPr>
      <w:rFonts w:ascii="Times New Roman" w:eastAsia="Times New Roman" w:hAnsi="Times New Roman"/>
      <w:kern w:val="0"/>
      <w:sz w:val="24"/>
      <w:lang w:val="en-US"/>
      <w14:ligatures w14:val="none"/>
    </w:rPr>
  </w:style>
  <w:style w:type="paragraph" w:styleId="32">
    <w:name w:val="Body Text 3"/>
    <w:basedOn w:val="a1"/>
    <w:link w:val="3Char0"/>
    <w:uiPriority w:val="99"/>
    <w:unhideWhenUsed/>
    <w:rsid w:val="00FC097F"/>
    <w:rPr>
      <w:sz w:val="16"/>
      <w:szCs w:val="16"/>
    </w:rPr>
  </w:style>
  <w:style w:type="character" w:customStyle="1" w:styleId="3Char0">
    <w:name w:val="Σώμα κείμενου 3 Char"/>
    <w:basedOn w:val="a2"/>
    <w:link w:val="32"/>
    <w:uiPriority w:val="99"/>
    <w:rsid w:val="00FC097F"/>
    <w:rPr>
      <w:rFonts w:ascii="Times New Roman" w:eastAsia="Times New Roman" w:hAnsi="Times New Roman"/>
      <w:kern w:val="0"/>
      <w:sz w:val="16"/>
      <w:szCs w:val="16"/>
      <w:lang w:val="en-US"/>
      <w14:ligatures w14:val="none"/>
    </w:rPr>
  </w:style>
  <w:style w:type="paragraph" w:styleId="af0">
    <w:name w:val="List"/>
    <w:basedOn w:val="a1"/>
    <w:uiPriority w:val="99"/>
    <w:unhideWhenUsed/>
    <w:rsid w:val="00FC097F"/>
    <w:pPr>
      <w:ind w:left="360" w:hanging="360"/>
      <w:contextualSpacing/>
    </w:pPr>
  </w:style>
  <w:style w:type="paragraph" w:styleId="23">
    <w:name w:val="List 2"/>
    <w:basedOn w:val="a1"/>
    <w:uiPriority w:val="99"/>
    <w:unhideWhenUsed/>
    <w:rsid w:val="00FC097F"/>
    <w:pPr>
      <w:ind w:left="720" w:hanging="360"/>
      <w:contextualSpacing/>
    </w:pPr>
  </w:style>
  <w:style w:type="paragraph" w:styleId="33">
    <w:name w:val="List 3"/>
    <w:basedOn w:val="a1"/>
    <w:uiPriority w:val="99"/>
    <w:unhideWhenUsed/>
    <w:rsid w:val="00FC097F"/>
    <w:pPr>
      <w:ind w:left="1080" w:hanging="360"/>
      <w:contextualSpacing/>
    </w:pPr>
  </w:style>
  <w:style w:type="paragraph" w:styleId="a0">
    <w:name w:val="List Bullet"/>
    <w:basedOn w:val="a1"/>
    <w:uiPriority w:val="99"/>
    <w:unhideWhenUsed/>
    <w:rsid w:val="00FC097F"/>
    <w:pPr>
      <w:numPr>
        <w:numId w:val="1"/>
      </w:numPr>
      <w:tabs>
        <w:tab w:val="clear" w:pos="360"/>
      </w:tabs>
      <w:ind w:left="0" w:firstLine="0"/>
      <w:contextualSpacing/>
    </w:pPr>
  </w:style>
  <w:style w:type="paragraph" w:styleId="20">
    <w:name w:val="List Bullet 2"/>
    <w:basedOn w:val="a1"/>
    <w:uiPriority w:val="99"/>
    <w:unhideWhenUsed/>
    <w:rsid w:val="00FC097F"/>
    <w:pPr>
      <w:numPr>
        <w:numId w:val="2"/>
      </w:numPr>
      <w:tabs>
        <w:tab w:val="clear" w:pos="720"/>
      </w:tabs>
      <w:ind w:left="0" w:firstLine="0"/>
      <w:contextualSpacing/>
    </w:pPr>
  </w:style>
  <w:style w:type="paragraph" w:styleId="30">
    <w:name w:val="List Bullet 3"/>
    <w:basedOn w:val="a1"/>
    <w:uiPriority w:val="99"/>
    <w:unhideWhenUsed/>
    <w:rsid w:val="00FC097F"/>
    <w:pPr>
      <w:numPr>
        <w:numId w:val="3"/>
      </w:numPr>
      <w:tabs>
        <w:tab w:val="clear" w:pos="1080"/>
      </w:tabs>
      <w:ind w:left="0" w:firstLine="0"/>
      <w:contextualSpacing/>
    </w:pPr>
  </w:style>
  <w:style w:type="paragraph" w:styleId="a">
    <w:name w:val="List Number"/>
    <w:basedOn w:val="a1"/>
    <w:uiPriority w:val="99"/>
    <w:unhideWhenUsed/>
    <w:rsid w:val="00FC097F"/>
    <w:pPr>
      <w:numPr>
        <w:numId w:val="5"/>
      </w:numPr>
      <w:tabs>
        <w:tab w:val="clear" w:pos="360"/>
      </w:tabs>
      <w:ind w:left="0" w:firstLine="0"/>
      <w:contextualSpacing/>
    </w:pPr>
  </w:style>
  <w:style w:type="paragraph" w:styleId="2">
    <w:name w:val="List Number 2"/>
    <w:basedOn w:val="a1"/>
    <w:uiPriority w:val="99"/>
    <w:unhideWhenUsed/>
    <w:rsid w:val="00FC097F"/>
    <w:pPr>
      <w:numPr>
        <w:numId w:val="6"/>
      </w:numPr>
      <w:tabs>
        <w:tab w:val="clear" w:pos="720"/>
      </w:tabs>
      <w:ind w:left="0" w:firstLine="0"/>
      <w:contextualSpacing/>
    </w:pPr>
  </w:style>
  <w:style w:type="paragraph" w:styleId="3">
    <w:name w:val="List Number 3"/>
    <w:basedOn w:val="a1"/>
    <w:uiPriority w:val="99"/>
    <w:unhideWhenUsed/>
    <w:rsid w:val="00FC097F"/>
    <w:pPr>
      <w:numPr>
        <w:numId w:val="7"/>
      </w:numPr>
      <w:tabs>
        <w:tab w:val="clear" w:pos="1080"/>
      </w:tabs>
      <w:ind w:left="0" w:firstLine="0"/>
      <w:contextualSpacing/>
    </w:pPr>
  </w:style>
  <w:style w:type="paragraph" w:styleId="af1">
    <w:name w:val="List Continue"/>
    <w:basedOn w:val="a1"/>
    <w:uiPriority w:val="99"/>
    <w:unhideWhenUsed/>
    <w:rsid w:val="00FC097F"/>
    <w:pPr>
      <w:ind w:left="360"/>
      <w:contextualSpacing/>
    </w:pPr>
  </w:style>
  <w:style w:type="paragraph" w:styleId="24">
    <w:name w:val="List Continue 2"/>
    <w:basedOn w:val="a1"/>
    <w:uiPriority w:val="99"/>
    <w:unhideWhenUsed/>
    <w:rsid w:val="00FC097F"/>
    <w:pPr>
      <w:ind w:left="720"/>
      <w:contextualSpacing/>
    </w:pPr>
  </w:style>
  <w:style w:type="paragraph" w:styleId="34">
    <w:name w:val="List Continue 3"/>
    <w:basedOn w:val="a1"/>
    <w:uiPriority w:val="99"/>
    <w:unhideWhenUsed/>
    <w:rsid w:val="00FC097F"/>
    <w:pPr>
      <w:ind w:left="1080"/>
      <w:contextualSpacing/>
    </w:pPr>
  </w:style>
  <w:style w:type="paragraph" w:styleId="af2">
    <w:name w:val="macro"/>
    <w:link w:val="Char6"/>
    <w:uiPriority w:val="99"/>
    <w:unhideWhenUsed/>
    <w:rsid w:val="00FC097F"/>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Char6">
    <w:name w:val="Κείμενο μακροεντολής Char"/>
    <w:basedOn w:val="a2"/>
    <w:link w:val="af2"/>
    <w:uiPriority w:val="99"/>
    <w:rsid w:val="00FC097F"/>
    <w:rPr>
      <w:rFonts w:ascii="Courier" w:eastAsiaTheme="minorEastAsia" w:hAnsi="Courier"/>
      <w:kern w:val="0"/>
      <w:sz w:val="20"/>
      <w:szCs w:val="20"/>
      <w:lang w:val="en-US"/>
      <w14:ligatures w14:val="none"/>
    </w:rPr>
  </w:style>
  <w:style w:type="paragraph" w:styleId="af3">
    <w:name w:val="caption"/>
    <w:basedOn w:val="a1"/>
    <w:next w:val="a1"/>
    <w:uiPriority w:val="35"/>
    <w:semiHidden/>
    <w:unhideWhenUsed/>
    <w:qFormat/>
    <w:rsid w:val="00FC097F"/>
    <w:pPr>
      <w:spacing w:line="240" w:lineRule="auto"/>
    </w:pPr>
    <w:rPr>
      <w:b/>
      <w:bCs/>
      <w:color w:val="156082" w:themeColor="accent1"/>
      <w:sz w:val="22"/>
      <w:szCs w:val="18"/>
    </w:rPr>
  </w:style>
  <w:style w:type="character" w:styleId="af4">
    <w:name w:val="Strong"/>
    <w:basedOn w:val="a2"/>
    <w:uiPriority w:val="22"/>
    <w:qFormat/>
    <w:rsid w:val="00FC097F"/>
    <w:rPr>
      <w:b/>
      <w:bCs/>
    </w:rPr>
  </w:style>
  <w:style w:type="character" w:styleId="af5">
    <w:name w:val="Emphasis"/>
    <w:basedOn w:val="a2"/>
    <w:uiPriority w:val="20"/>
    <w:qFormat/>
    <w:rsid w:val="00FC097F"/>
    <w:rPr>
      <w:i/>
      <w:iCs/>
    </w:rPr>
  </w:style>
  <w:style w:type="character" w:styleId="af6">
    <w:name w:val="Subtle Emphasis"/>
    <w:basedOn w:val="a2"/>
    <w:uiPriority w:val="19"/>
    <w:qFormat/>
    <w:rsid w:val="00FC097F"/>
    <w:rPr>
      <w:i/>
      <w:iCs/>
      <w:color w:val="808080" w:themeColor="text1" w:themeTint="7F"/>
    </w:rPr>
  </w:style>
  <w:style w:type="character" w:styleId="af7">
    <w:name w:val="Subtle Reference"/>
    <w:basedOn w:val="a2"/>
    <w:uiPriority w:val="31"/>
    <w:qFormat/>
    <w:rsid w:val="00FC097F"/>
    <w:rPr>
      <w:smallCaps/>
      <w:color w:val="E97132" w:themeColor="accent2"/>
      <w:u w:val="single"/>
    </w:rPr>
  </w:style>
  <w:style w:type="character" w:styleId="af8">
    <w:name w:val="Book Title"/>
    <w:basedOn w:val="a2"/>
    <w:uiPriority w:val="33"/>
    <w:qFormat/>
    <w:rsid w:val="00FC097F"/>
    <w:rPr>
      <w:b/>
      <w:bCs/>
      <w:smallCaps/>
      <w:spacing w:val="5"/>
    </w:rPr>
  </w:style>
  <w:style w:type="paragraph" w:styleId="af9">
    <w:name w:val="TOC Heading"/>
    <w:basedOn w:val="1"/>
    <w:next w:val="a1"/>
    <w:uiPriority w:val="39"/>
    <w:unhideWhenUsed/>
    <w:qFormat/>
    <w:rsid w:val="00FC097F"/>
    <w:pPr>
      <w:spacing w:before="240" w:after="160"/>
    </w:pPr>
    <w:rPr>
      <w:b/>
      <w:bCs/>
      <w:sz w:val="32"/>
      <w:szCs w:val="28"/>
    </w:rPr>
  </w:style>
  <w:style w:type="table" w:styleId="afa">
    <w:name w:val="Table Grid"/>
    <w:basedOn w:val="a3"/>
    <w:uiPriority w:val="59"/>
    <w:rsid w:val="00FC097F"/>
    <w:pPr>
      <w:spacing w:after="0" w:line="240" w:lineRule="auto"/>
    </w:pPr>
    <w:rPr>
      <w:rFonts w:ascii="Times New Roman" w:eastAsiaTheme="minorEastAsia" w:hAnsi="Times New Roman"/>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097F"/>
    <w:pPr>
      <w:spacing w:after="0" w:line="240" w:lineRule="auto"/>
    </w:pPr>
    <w:rPr>
      <w:rFonts w:eastAsiaTheme="minorEastAsia"/>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097F"/>
    <w:pPr>
      <w:spacing w:after="0" w:line="240" w:lineRule="auto"/>
    </w:pPr>
    <w:rPr>
      <w:rFonts w:eastAsiaTheme="minorEastAsia"/>
      <w:color w:val="0F4761" w:themeColor="accent1" w:themeShade="BF"/>
      <w:kern w:val="0"/>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2">
    <w:name w:val="Light Shading Accent 2"/>
    <w:basedOn w:val="a3"/>
    <w:uiPriority w:val="60"/>
    <w:rsid w:val="00FC097F"/>
    <w:pPr>
      <w:spacing w:after="0" w:line="240" w:lineRule="auto"/>
    </w:pPr>
    <w:rPr>
      <w:rFonts w:eastAsiaTheme="minorEastAsia"/>
      <w:color w:val="BF4E14" w:themeColor="accent2" w:themeShade="BF"/>
      <w:kern w:val="0"/>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3">
    <w:name w:val="Light Shading Accent 3"/>
    <w:basedOn w:val="a3"/>
    <w:uiPriority w:val="60"/>
    <w:rsid w:val="00FC097F"/>
    <w:pPr>
      <w:spacing w:after="0" w:line="240" w:lineRule="auto"/>
    </w:pPr>
    <w:rPr>
      <w:rFonts w:eastAsiaTheme="minorEastAsia"/>
      <w:color w:val="124F1A" w:themeColor="accent3" w:themeShade="BF"/>
      <w:kern w:val="0"/>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4">
    <w:name w:val="Light Shading Accent 4"/>
    <w:basedOn w:val="a3"/>
    <w:uiPriority w:val="60"/>
    <w:rsid w:val="00FC097F"/>
    <w:pPr>
      <w:spacing w:after="0" w:line="240" w:lineRule="auto"/>
    </w:pPr>
    <w:rPr>
      <w:rFonts w:eastAsiaTheme="minorEastAsia"/>
      <w:color w:val="0B769F" w:themeColor="accent4" w:themeShade="BF"/>
      <w:kern w:val="0"/>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5">
    <w:name w:val="Light Shading Accent 5"/>
    <w:basedOn w:val="a3"/>
    <w:uiPriority w:val="60"/>
    <w:rsid w:val="00FC097F"/>
    <w:pPr>
      <w:spacing w:after="0" w:line="240" w:lineRule="auto"/>
    </w:pPr>
    <w:rPr>
      <w:rFonts w:eastAsiaTheme="minorEastAsia"/>
      <w:color w:val="77206D" w:themeColor="accent5" w:themeShade="BF"/>
      <w:kern w:val="0"/>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6">
    <w:name w:val="Light Shading Accent 6"/>
    <w:basedOn w:val="a3"/>
    <w:uiPriority w:val="60"/>
    <w:rsid w:val="00FC097F"/>
    <w:pPr>
      <w:spacing w:after="0" w:line="240" w:lineRule="auto"/>
    </w:pPr>
    <w:rPr>
      <w:rFonts w:eastAsiaTheme="minorEastAsia"/>
      <w:color w:val="3A7C22" w:themeColor="accent6" w:themeShade="BF"/>
      <w:kern w:val="0"/>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afc">
    <w:name w:val="Light List"/>
    <w:basedOn w:val="a3"/>
    <w:uiPriority w:val="61"/>
    <w:rsid w:val="00FC097F"/>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097F"/>
    <w:pPr>
      <w:spacing w:after="0" w:line="240" w:lineRule="auto"/>
    </w:pPr>
    <w:rPr>
      <w:rFonts w:eastAsiaTheme="minorEastAsia"/>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20">
    <w:name w:val="Light List Accent 2"/>
    <w:basedOn w:val="a3"/>
    <w:uiPriority w:val="61"/>
    <w:rsid w:val="00FC097F"/>
    <w:pPr>
      <w:spacing w:after="0" w:line="240" w:lineRule="auto"/>
    </w:pPr>
    <w:rPr>
      <w:rFonts w:eastAsiaTheme="minorEastAsia"/>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30">
    <w:name w:val="Light List Accent 3"/>
    <w:basedOn w:val="a3"/>
    <w:uiPriority w:val="61"/>
    <w:rsid w:val="00FC097F"/>
    <w:pPr>
      <w:spacing w:after="0" w:line="240" w:lineRule="auto"/>
    </w:pPr>
    <w:rPr>
      <w:rFonts w:eastAsiaTheme="minorEastAsia"/>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40">
    <w:name w:val="Light List Accent 4"/>
    <w:basedOn w:val="a3"/>
    <w:uiPriority w:val="61"/>
    <w:rsid w:val="00FC097F"/>
    <w:pPr>
      <w:spacing w:after="0" w:line="240" w:lineRule="auto"/>
    </w:pPr>
    <w:rPr>
      <w:rFonts w:eastAsiaTheme="minorEastAsia"/>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50">
    <w:name w:val="Light List Accent 5"/>
    <w:basedOn w:val="a3"/>
    <w:uiPriority w:val="61"/>
    <w:rsid w:val="00FC097F"/>
    <w:pPr>
      <w:spacing w:after="0" w:line="240" w:lineRule="auto"/>
    </w:pPr>
    <w:rPr>
      <w:rFonts w:eastAsiaTheme="minorEastAsia"/>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60">
    <w:name w:val="Light List Accent 6"/>
    <w:basedOn w:val="a3"/>
    <w:uiPriority w:val="61"/>
    <w:rsid w:val="00FC097F"/>
    <w:pPr>
      <w:spacing w:after="0" w:line="240" w:lineRule="auto"/>
    </w:pPr>
    <w:rPr>
      <w:rFonts w:eastAsiaTheme="minorEastAsia"/>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afd">
    <w:name w:val="Light Grid"/>
    <w:basedOn w:val="a3"/>
    <w:uiPriority w:val="62"/>
    <w:rsid w:val="00FC097F"/>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FC097F"/>
    <w:pPr>
      <w:spacing w:after="0" w:line="240" w:lineRule="auto"/>
    </w:pPr>
    <w:rPr>
      <w:rFonts w:eastAsiaTheme="minorEastAsia"/>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21">
    <w:name w:val="Light Grid Accent 2"/>
    <w:basedOn w:val="a3"/>
    <w:uiPriority w:val="62"/>
    <w:rsid w:val="00FC097F"/>
    <w:pPr>
      <w:spacing w:after="0" w:line="240" w:lineRule="auto"/>
    </w:pPr>
    <w:rPr>
      <w:rFonts w:eastAsiaTheme="minorEastAsia"/>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31">
    <w:name w:val="Light Grid Accent 3"/>
    <w:basedOn w:val="a3"/>
    <w:uiPriority w:val="62"/>
    <w:rsid w:val="00FC097F"/>
    <w:pPr>
      <w:spacing w:after="0" w:line="240" w:lineRule="auto"/>
    </w:pPr>
    <w:rPr>
      <w:rFonts w:eastAsiaTheme="minorEastAsia"/>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41">
    <w:name w:val="Light Grid Accent 4"/>
    <w:basedOn w:val="a3"/>
    <w:uiPriority w:val="62"/>
    <w:rsid w:val="00FC097F"/>
    <w:pPr>
      <w:spacing w:after="0" w:line="240" w:lineRule="auto"/>
    </w:pPr>
    <w:rPr>
      <w:rFonts w:eastAsiaTheme="minorEastAsia"/>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51">
    <w:name w:val="Light Grid Accent 5"/>
    <w:basedOn w:val="a3"/>
    <w:uiPriority w:val="62"/>
    <w:rsid w:val="00FC097F"/>
    <w:pPr>
      <w:spacing w:after="0" w:line="240" w:lineRule="auto"/>
    </w:pPr>
    <w:rPr>
      <w:rFonts w:eastAsiaTheme="minorEastAsia"/>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61">
    <w:name w:val="Light Grid Accent 6"/>
    <w:basedOn w:val="a3"/>
    <w:uiPriority w:val="62"/>
    <w:rsid w:val="00FC097F"/>
    <w:pPr>
      <w:spacing w:after="0" w:line="240" w:lineRule="auto"/>
    </w:pPr>
    <w:rPr>
      <w:rFonts w:eastAsiaTheme="minorEastAsia"/>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10">
    <w:name w:val="Medium Shading 1"/>
    <w:basedOn w:val="a3"/>
    <w:uiPriority w:val="63"/>
    <w:rsid w:val="00FC097F"/>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FC097F"/>
    <w:pPr>
      <w:spacing w:after="0" w:line="240" w:lineRule="auto"/>
    </w:pPr>
    <w:rPr>
      <w:rFonts w:eastAsiaTheme="minorEastAsia"/>
      <w:kern w:val="0"/>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FC097F"/>
    <w:pPr>
      <w:spacing w:after="0" w:line="240" w:lineRule="auto"/>
    </w:pPr>
    <w:rPr>
      <w:rFonts w:eastAsiaTheme="minorEastAsia"/>
      <w:kern w:val="0"/>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FC097F"/>
    <w:pPr>
      <w:spacing w:after="0" w:line="240" w:lineRule="auto"/>
    </w:pPr>
    <w:rPr>
      <w:rFonts w:eastAsiaTheme="minorEastAsia"/>
      <w:kern w:val="0"/>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FC097F"/>
    <w:pPr>
      <w:spacing w:after="0" w:line="240" w:lineRule="auto"/>
    </w:pPr>
    <w:rPr>
      <w:rFonts w:eastAsiaTheme="minorEastAsia"/>
      <w:kern w:val="0"/>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FC097F"/>
    <w:pPr>
      <w:spacing w:after="0" w:line="240" w:lineRule="auto"/>
    </w:pPr>
    <w:rPr>
      <w:rFonts w:eastAsiaTheme="minorEastAsia"/>
      <w:kern w:val="0"/>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FC097F"/>
    <w:pPr>
      <w:spacing w:after="0" w:line="240" w:lineRule="auto"/>
    </w:pPr>
    <w:rPr>
      <w:rFonts w:eastAsiaTheme="minorEastAsia"/>
      <w:kern w:val="0"/>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25">
    <w:name w:val="Medium Shading 2"/>
    <w:basedOn w:val="a3"/>
    <w:uiPriority w:val="64"/>
    <w:rsid w:val="00FC097F"/>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FC097F"/>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FC097F"/>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FC097F"/>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FC097F"/>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FC097F"/>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FC097F"/>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1-20">
    <w:name w:val="Medium List 1 Accent 2"/>
    <w:basedOn w:val="a3"/>
    <w:uiPriority w:val="65"/>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1-30">
    <w:name w:val="Medium List 1 Accent 3"/>
    <w:basedOn w:val="a3"/>
    <w:uiPriority w:val="65"/>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1-40">
    <w:name w:val="Medium List 1 Accent 4"/>
    <w:basedOn w:val="a3"/>
    <w:uiPriority w:val="65"/>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1-50">
    <w:name w:val="Medium List 1 Accent 5"/>
    <w:basedOn w:val="a3"/>
    <w:uiPriority w:val="65"/>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1-60">
    <w:name w:val="Medium List 1 Accent 6"/>
    <w:basedOn w:val="a3"/>
    <w:uiPriority w:val="65"/>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26">
    <w:name w:val="Medium List 2"/>
    <w:basedOn w:val="a3"/>
    <w:uiPriority w:val="66"/>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FC097F"/>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FC097F"/>
    <w:pPr>
      <w:spacing w:after="0" w:line="240" w:lineRule="auto"/>
    </w:pPr>
    <w:rPr>
      <w:rFonts w:eastAsiaTheme="minorEastAsia"/>
      <w:kern w:val="0"/>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1-21">
    <w:name w:val="Medium Grid 1 Accent 2"/>
    <w:basedOn w:val="a3"/>
    <w:uiPriority w:val="67"/>
    <w:rsid w:val="00FC097F"/>
    <w:pPr>
      <w:spacing w:after="0" w:line="240" w:lineRule="auto"/>
    </w:pPr>
    <w:rPr>
      <w:rFonts w:eastAsiaTheme="minorEastAsia"/>
      <w:kern w:val="0"/>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1-31">
    <w:name w:val="Medium Grid 1 Accent 3"/>
    <w:basedOn w:val="a3"/>
    <w:uiPriority w:val="67"/>
    <w:rsid w:val="00FC097F"/>
    <w:pPr>
      <w:spacing w:after="0" w:line="240" w:lineRule="auto"/>
    </w:pPr>
    <w:rPr>
      <w:rFonts w:eastAsiaTheme="minorEastAsia"/>
      <w:kern w:val="0"/>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1-41">
    <w:name w:val="Medium Grid 1 Accent 4"/>
    <w:basedOn w:val="a3"/>
    <w:uiPriority w:val="67"/>
    <w:rsid w:val="00FC097F"/>
    <w:pPr>
      <w:spacing w:after="0" w:line="240" w:lineRule="auto"/>
    </w:pPr>
    <w:rPr>
      <w:rFonts w:eastAsiaTheme="minorEastAsia"/>
      <w:kern w:val="0"/>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1-51">
    <w:name w:val="Medium Grid 1 Accent 5"/>
    <w:basedOn w:val="a3"/>
    <w:uiPriority w:val="67"/>
    <w:rsid w:val="00FC097F"/>
    <w:pPr>
      <w:spacing w:after="0" w:line="240" w:lineRule="auto"/>
    </w:pPr>
    <w:rPr>
      <w:rFonts w:eastAsiaTheme="minorEastAsia"/>
      <w:kern w:val="0"/>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1-61">
    <w:name w:val="Medium Grid 1 Accent 6"/>
    <w:basedOn w:val="a3"/>
    <w:uiPriority w:val="67"/>
    <w:rsid w:val="00FC097F"/>
    <w:pPr>
      <w:spacing w:after="0" w:line="240" w:lineRule="auto"/>
    </w:pPr>
    <w:rPr>
      <w:rFonts w:eastAsiaTheme="minorEastAsia"/>
      <w:kern w:val="0"/>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27">
    <w:name w:val="Medium Grid 2"/>
    <w:basedOn w:val="a3"/>
    <w:uiPriority w:val="68"/>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FC097F"/>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35">
    <w:name w:val="Medium Grid 3"/>
    <w:basedOn w:val="a3"/>
    <w:uiPriority w:val="69"/>
    <w:rsid w:val="00FC097F"/>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FC097F"/>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3-2">
    <w:name w:val="Medium Grid 3 Accent 2"/>
    <w:basedOn w:val="a3"/>
    <w:uiPriority w:val="69"/>
    <w:rsid w:val="00FC097F"/>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3-3">
    <w:name w:val="Medium Grid 3 Accent 3"/>
    <w:basedOn w:val="a3"/>
    <w:uiPriority w:val="69"/>
    <w:rsid w:val="00FC097F"/>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3-4">
    <w:name w:val="Medium Grid 3 Accent 4"/>
    <w:basedOn w:val="a3"/>
    <w:uiPriority w:val="69"/>
    <w:rsid w:val="00FC097F"/>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3-5">
    <w:name w:val="Medium Grid 3 Accent 5"/>
    <w:basedOn w:val="a3"/>
    <w:uiPriority w:val="69"/>
    <w:rsid w:val="00FC097F"/>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3-6">
    <w:name w:val="Medium Grid 3 Accent 6"/>
    <w:basedOn w:val="a3"/>
    <w:uiPriority w:val="69"/>
    <w:rsid w:val="00FC097F"/>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afe">
    <w:name w:val="Dark List"/>
    <w:basedOn w:val="a3"/>
    <w:uiPriority w:val="70"/>
    <w:rsid w:val="00FC097F"/>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FC097F"/>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22">
    <w:name w:val="Dark List Accent 2"/>
    <w:basedOn w:val="a3"/>
    <w:uiPriority w:val="70"/>
    <w:rsid w:val="00FC097F"/>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32">
    <w:name w:val="Dark List Accent 3"/>
    <w:basedOn w:val="a3"/>
    <w:uiPriority w:val="70"/>
    <w:rsid w:val="00FC097F"/>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42">
    <w:name w:val="Dark List Accent 4"/>
    <w:basedOn w:val="a3"/>
    <w:uiPriority w:val="70"/>
    <w:rsid w:val="00FC097F"/>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52">
    <w:name w:val="Dark List Accent 5"/>
    <w:basedOn w:val="a3"/>
    <w:uiPriority w:val="70"/>
    <w:rsid w:val="00FC097F"/>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62">
    <w:name w:val="Dark List Accent 6"/>
    <w:basedOn w:val="a3"/>
    <w:uiPriority w:val="70"/>
    <w:rsid w:val="00FC097F"/>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aff">
    <w:name w:val="Colorful Shading"/>
    <w:basedOn w:val="a3"/>
    <w:uiPriority w:val="71"/>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43">
    <w:name w:val="Colorful Shading Accent 4"/>
    <w:basedOn w:val="a3"/>
    <w:uiPriority w:val="71"/>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FC097F"/>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FC097F"/>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FC097F"/>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24">
    <w:name w:val="Colorful List Accent 2"/>
    <w:basedOn w:val="a3"/>
    <w:uiPriority w:val="72"/>
    <w:rsid w:val="00FC097F"/>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34">
    <w:name w:val="Colorful List Accent 3"/>
    <w:basedOn w:val="a3"/>
    <w:uiPriority w:val="72"/>
    <w:rsid w:val="00FC097F"/>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44">
    <w:name w:val="Colorful List Accent 4"/>
    <w:basedOn w:val="a3"/>
    <w:uiPriority w:val="72"/>
    <w:rsid w:val="00FC097F"/>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54">
    <w:name w:val="Colorful List Accent 5"/>
    <w:basedOn w:val="a3"/>
    <w:uiPriority w:val="72"/>
    <w:rsid w:val="00FC097F"/>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64">
    <w:name w:val="Colorful List Accent 6"/>
    <w:basedOn w:val="a3"/>
    <w:uiPriority w:val="72"/>
    <w:rsid w:val="00FC097F"/>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aff1">
    <w:name w:val="Colorful Grid"/>
    <w:basedOn w:val="a3"/>
    <w:uiPriority w:val="73"/>
    <w:rsid w:val="00FC097F"/>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FC097F"/>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25">
    <w:name w:val="Colorful Grid Accent 2"/>
    <w:basedOn w:val="a3"/>
    <w:uiPriority w:val="73"/>
    <w:rsid w:val="00FC097F"/>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35">
    <w:name w:val="Colorful Grid Accent 3"/>
    <w:basedOn w:val="a3"/>
    <w:uiPriority w:val="73"/>
    <w:rsid w:val="00FC097F"/>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45">
    <w:name w:val="Colorful Grid Accent 4"/>
    <w:basedOn w:val="a3"/>
    <w:uiPriority w:val="73"/>
    <w:rsid w:val="00FC097F"/>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55">
    <w:name w:val="Colorful Grid Accent 5"/>
    <w:basedOn w:val="a3"/>
    <w:uiPriority w:val="73"/>
    <w:rsid w:val="00FC097F"/>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65">
    <w:name w:val="Colorful Grid Accent 6"/>
    <w:basedOn w:val="a3"/>
    <w:uiPriority w:val="73"/>
    <w:rsid w:val="00FC097F"/>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customStyle="1" w:styleId="SourceCode">
    <w:name w:val="Source Code"/>
    <w:basedOn w:val="a1"/>
    <w:rsid w:val="00FC097F"/>
    <w:pPr>
      <w:wordWrap w:val="0"/>
    </w:pPr>
  </w:style>
  <w:style w:type="character" w:customStyle="1" w:styleId="KeywordTok">
    <w:name w:val="KeywordTok"/>
    <w:rsid w:val="00FC097F"/>
    <w:rPr>
      <w:b/>
      <w:color w:val="007020"/>
    </w:rPr>
  </w:style>
  <w:style w:type="character" w:customStyle="1" w:styleId="DataTypeTok">
    <w:name w:val="DataTypeTok"/>
    <w:rsid w:val="00FC097F"/>
    <w:rPr>
      <w:color w:val="902000"/>
    </w:rPr>
  </w:style>
  <w:style w:type="character" w:customStyle="1" w:styleId="DecValTok">
    <w:name w:val="DecValTok"/>
    <w:rsid w:val="00FC097F"/>
    <w:rPr>
      <w:color w:val="40A070"/>
    </w:rPr>
  </w:style>
  <w:style w:type="character" w:customStyle="1" w:styleId="BaseNTok">
    <w:name w:val="BaseNTok"/>
    <w:rsid w:val="00FC097F"/>
    <w:rPr>
      <w:color w:val="40A070"/>
    </w:rPr>
  </w:style>
  <w:style w:type="character" w:customStyle="1" w:styleId="FloatTok">
    <w:name w:val="FloatTok"/>
    <w:rsid w:val="00FC097F"/>
    <w:rPr>
      <w:color w:val="40A070"/>
    </w:rPr>
  </w:style>
  <w:style w:type="character" w:customStyle="1" w:styleId="ConstantTok">
    <w:name w:val="ConstantTok"/>
    <w:rsid w:val="00FC097F"/>
    <w:rPr>
      <w:color w:val="880000"/>
    </w:rPr>
  </w:style>
  <w:style w:type="character" w:customStyle="1" w:styleId="CharTok">
    <w:name w:val="CharTok"/>
    <w:rsid w:val="00FC097F"/>
    <w:rPr>
      <w:color w:val="4070A0"/>
    </w:rPr>
  </w:style>
  <w:style w:type="character" w:customStyle="1" w:styleId="SpecialCharTok">
    <w:name w:val="SpecialCharTok"/>
    <w:rsid w:val="00FC097F"/>
    <w:rPr>
      <w:color w:val="4070A0"/>
    </w:rPr>
  </w:style>
  <w:style w:type="character" w:customStyle="1" w:styleId="StringTok">
    <w:name w:val="StringTok"/>
    <w:rsid w:val="00FC097F"/>
    <w:rPr>
      <w:color w:val="4070A0"/>
    </w:rPr>
  </w:style>
  <w:style w:type="character" w:customStyle="1" w:styleId="VerbatimStringTok">
    <w:name w:val="VerbatimStringTok"/>
    <w:rsid w:val="00FC097F"/>
    <w:rPr>
      <w:color w:val="4070A0"/>
    </w:rPr>
  </w:style>
  <w:style w:type="character" w:customStyle="1" w:styleId="SpecialStringTok">
    <w:name w:val="SpecialStringTok"/>
    <w:rsid w:val="00FC097F"/>
    <w:rPr>
      <w:color w:val="BB6688"/>
    </w:rPr>
  </w:style>
  <w:style w:type="character" w:customStyle="1" w:styleId="ImportTok">
    <w:name w:val="ImportTok"/>
    <w:rsid w:val="00FC097F"/>
    <w:rPr>
      <w:b/>
      <w:color w:val="008000"/>
    </w:rPr>
  </w:style>
  <w:style w:type="character" w:customStyle="1" w:styleId="CommentTok">
    <w:name w:val="CommentTok"/>
    <w:rsid w:val="00FC097F"/>
    <w:rPr>
      <w:i/>
      <w:color w:val="60A0B0"/>
    </w:rPr>
  </w:style>
  <w:style w:type="character" w:customStyle="1" w:styleId="DocumentationTok">
    <w:name w:val="DocumentationTok"/>
    <w:rsid w:val="00FC097F"/>
    <w:rPr>
      <w:i/>
      <w:color w:val="BA2121"/>
    </w:rPr>
  </w:style>
  <w:style w:type="character" w:customStyle="1" w:styleId="AnnotationTok">
    <w:name w:val="AnnotationTok"/>
    <w:rsid w:val="00FC097F"/>
    <w:rPr>
      <w:b/>
      <w:i/>
      <w:color w:val="60A0B0"/>
    </w:rPr>
  </w:style>
  <w:style w:type="character" w:customStyle="1" w:styleId="CommentVarTok">
    <w:name w:val="CommentVarTok"/>
    <w:rsid w:val="00FC097F"/>
    <w:rPr>
      <w:b/>
      <w:i/>
      <w:color w:val="60A0B0"/>
    </w:rPr>
  </w:style>
  <w:style w:type="character" w:customStyle="1" w:styleId="OtherTok">
    <w:name w:val="OtherTok"/>
    <w:rsid w:val="00FC097F"/>
    <w:rPr>
      <w:color w:val="007020"/>
    </w:rPr>
  </w:style>
  <w:style w:type="character" w:customStyle="1" w:styleId="FunctionTok">
    <w:name w:val="FunctionTok"/>
    <w:rsid w:val="00FC097F"/>
    <w:rPr>
      <w:color w:val="06287E"/>
    </w:rPr>
  </w:style>
  <w:style w:type="character" w:customStyle="1" w:styleId="VariableTok">
    <w:name w:val="VariableTok"/>
    <w:rsid w:val="00FC097F"/>
    <w:rPr>
      <w:color w:val="19177C"/>
    </w:rPr>
  </w:style>
  <w:style w:type="character" w:customStyle="1" w:styleId="ControlFlowTok">
    <w:name w:val="ControlFlowTok"/>
    <w:rsid w:val="00FC097F"/>
    <w:rPr>
      <w:b/>
      <w:color w:val="007020"/>
    </w:rPr>
  </w:style>
  <w:style w:type="character" w:customStyle="1" w:styleId="OperatorTok">
    <w:name w:val="OperatorTok"/>
    <w:rsid w:val="00FC097F"/>
    <w:rPr>
      <w:color w:val="666666"/>
    </w:rPr>
  </w:style>
  <w:style w:type="character" w:customStyle="1" w:styleId="BuiltInTok">
    <w:name w:val="BuiltInTok"/>
    <w:rsid w:val="00FC097F"/>
    <w:rPr>
      <w:color w:val="008000"/>
    </w:rPr>
  </w:style>
  <w:style w:type="character" w:customStyle="1" w:styleId="ExtensionTok">
    <w:name w:val="ExtensionTok"/>
    <w:rsid w:val="00FC097F"/>
  </w:style>
  <w:style w:type="character" w:customStyle="1" w:styleId="PreprocessorTok">
    <w:name w:val="PreprocessorTok"/>
    <w:rsid w:val="00FC097F"/>
    <w:rPr>
      <w:color w:val="BC7A00"/>
    </w:rPr>
  </w:style>
  <w:style w:type="character" w:customStyle="1" w:styleId="AttributeTok">
    <w:name w:val="AttributeTok"/>
    <w:rsid w:val="00FC097F"/>
    <w:rPr>
      <w:color w:val="7D9029"/>
    </w:rPr>
  </w:style>
  <w:style w:type="character" w:customStyle="1" w:styleId="RegionMarkerTok">
    <w:name w:val="RegionMarkerTok"/>
    <w:rsid w:val="00FC097F"/>
  </w:style>
  <w:style w:type="character" w:customStyle="1" w:styleId="InformationTok">
    <w:name w:val="InformationTok"/>
    <w:rsid w:val="00FC097F"/>
    <w:rPr>
      <w:b/>
      <w:i/>
      <w:color w:val="60A0B0"/>
    </w:rPr>
  </w:style>
  <w:style w:type="character" w:customStyle="1" w:styleId="WarningTok">
    <w:name w:val="WarningTok"/>
    <w:rsid w:val="00FC097F"/>
    <w:rPr>
      <w:b/>
      <w:i/>
      <w:color w:val="60A0B0"/>
    </w:rPr>
  </w:style>
  <w:style w:type="character" w:customStyle="1" w:styleId="AlertTok">
    <w:name w:val="AlertTok"/>
    <w:rsid w:val="00FC097F"/>
    <w:rPr>
      <w:b/>
      <w:color w:val="FF0000"/>
    </w:rPr>
  </w:style>
  <w:style w:type="character" w:customStyle="1" w:styleId="ErrorTok">
    <w:name w:val="ErrorTok"/>
    <w:rsid w:val="00FC097F"/>
    <w:rPr>
      <w:b/>
      <w:color w:val="FF0000"/>
    </w:rPr>
  </w:style>
  <w:style w:type="character" w:customStyle="1" w:styleId="NormalTok">
    <w:name w:val="NormalTok"/>
    <w:rsid w:val="00FC097F"/>
  </w:style>
  <w:style w:type="paragraph" w:customStyle="1" w:styleId="13">
    <w:name w:val="Τίτλος 1 χωρίς σύμπτυξη"/>
    <w:basedOn w:val="a1"/>
    <w:next w:val="a1"/>
    <w:rsid w:val="00FC097F"/>
    <w:pPr>
      <w:keepNext/>
      <w:keepLines/>
      <w:spacing w:before="240" w:after="160"/>
    </w:pPr>
    <w:rPr>
      <w:rFonts w:asciiTheme="majorHAnsi" w:eastAsiaTheme="majorEastAsia" w:hAnsiTheme="majorHAnsi" w:cstheme="majorBidi"/>
      <w:b/>
      <w:bCs/>
      <w:color w:val="0F4761" w:themeColor="accent1" w:themeShade="BF"/>
      <w:sz w:val="32"/>
      <w:szCs w:val="28"/>
    </w:rPr>
  </w:style>
  <w:style w:type="paragraph" w:customStyle="1" w:styleId="28">
    <w:name w:val="Τίτλος 2 χωρίς σύμπτυξη"/>
    <w:basedOn w:val="a1"/>
    <w:next w:val="a1"/>
    <w:rsid w:val="00FC097F"/>
    <w:pPr>
      <w:keepNext/>
      <w:keepLines/>
      <w:spacing w:before="240" w:after="160"/>
    </w:pPr>
    <w:rPr>
      <w:rFonts w:asciiTheme="majorHAnsi" w:eastAsiaTheme="majorEastAsia" w:hAnsiTheme="majorHAnsi" w:cstheme="majorBidi"/>
      <w:b/>
      <w:bCs/>
      <w:color w:val="156082" w:themeColor="accent1"/>
      <w:sz w:val="28"/>
      <w:szCs w:val="26"/>
    </w:rPr>
  </w:style>
  <w:style w:type="paragraph" w:customStyle="1" w:styleId="36">
    <w:name w:val="Τίτλος 3 χωρίς σύμπτυξη"/>
    <w:basedOn w:val="a1"/>
    <w:next w:val="a1"/>
    <w:rsid w:val="00FC097F"/>
    <w:pPr>
      <w:keepNext/>
      <w:keepLines/>
      <w:spacing w:before="240" w:after="160"/>
    </w:pPr>
    <w:rPr>
      <w:rFonts w:asciiTheme="majorHAnsi" w:eastAsiaTheme="majorEastAsia" w:hAnsiTheme="majorHAnsi" w:cstheme="majorBidi"/>
      <w:b/>
      <w:bCs/>
      <w:color w:val="156082" w:themeColor="accent1"/>
    </w:rPr>
  </w:style>
  <w:style w:type="paragraph" w:customStyle="1" w:styleId="aff2">
    <w:name w:val="Τίτλος ΠΠ χωρίς σύμπτυξη"/>
    <w:basedOn w:val="a1"/>
    <w:next w:val="a1"/>
    <w:rsid w:val="00FC097F"/>
  </w:style>
  <w:style w:type="paragraph" w:styleId="14">
    <w:name w:val="toc 1"/>
    <w:basedOn w:val="a1"/>
    <w:next w:val="a1"/>
    <w:autoRedefine/>
    <w:uiPriority w:val="39"/>
    <w:unhideWhenUsed/>
    <w:rsid w:val="009E70CD"/>
    <w:pPr>
      <w:spacing w:after="100"/>
    </w:pPr>
  </w:style>
  <w:style w:type="paragraph" w:styleId="29">
    <w:name w:val="toc 2"/>
    <w:basedOn w:val="a1"/>
    <w:next w:val="a1"/>
    <w:autoRedefine/>
    <w:uiPriority w:val="39"/>
    <w:unhideWhenUsed/>
    <w:rsid w:val="009E70CD"/>
    <w:pPr>
      <w:spacing w:after="100"/>
      <w:ind w:left="240"/>
    </w:pPr>
  </w:style>
  <w:style w:type="character" w:styleId="-">
    <w:name w:val="Hyperlink"/>
    <w:basedOn w:val="a2"/>
    <w:uiPriority w:val="99"/>
    <w:unhideWhenUsed/>
    <w:rsid w:val="009E70C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D5070-36BB-47B9-888B-03CD3BE55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59</Pages>
  <Words>16927</Words>
  <Characters>91407</Characters>
  <Application>Microsoft Office Word</Application>
  <DocSecurity>0</DocSecurity>
  <Lines>761</Lines>
  <Paragraphs>216</Paragraphs>
  <ScaleCrop>false</ScaleCrop>
  <Company/>
  <LinksUpToDate>false</LinksUpToDate>
  <CharactersWithSpaces>108118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Thanos Bouglas</dc:creator>
  <cp:keywords/>
  <dc:description/>
  <cp:lastModifiedBy>Info</cp:lastModifiedBy>
  <cp:revision>25</cp:revision>
  <cp:lastPrinted>2026-06-12T12:38:00Z</cp:lastPrinted>
  <dcterms:created xsi:type="dcterms:W3CDTF">2026-06-12T12:15:00Z</dcterms:created>
  <dcterms:modified xsi:type="dcterms:W3CDTF">2026-06-12T13:13:00Z</dcterms:modified>
</cp:coreProperties>
</file>